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E5D2" w14:textId="77777777" w:rsidR="00271679" w:rsidRPr="00B8081C" w:rsidRDefault="00271679" w:rsidP="00271679">
      <w:pPr>
        <w:pStyle w:val="NoSpacing"/>
        <w:jc w:val="center"/>
        <w:rPr>
          <w:rFonts w:ascii="Arial" w:hAnsi="Arial" w:cs="Arial"/>
        </w:rPr>
      </w:pPr>
    </w:p>
    <w:p w14:paraId="4D9975CA" w14:textId="77777777" w:rsidR="004118BC" w:rsidRPr="00B8081C" w:rsidRDefault="00271679" w:rsidP="00271679">
      <w:pPr>
        <w:pStyle w:val="NoSpacing"/>
        <w:jc w:val="center"/>
        <w:rPr>
          <w:rFonts w:ascii="Arial" w:hAnsi="Arial" w:cs="Arial"/>
        </w:rPr>
      </w:pPr>
      <w:r w:rsidRPr="00B8081C">
        <w:rPr>
          <w:rFonts w:ascii="Arial" w:hAnsi="Arial" w:cs="Arial"/>
          <w:noProof/>
        </w:rPr>
        <w:drawing>
          <wp:inline distT="0" distB="0" distL="0" distR="0" wp14:anchorId="36340F7C" wp14:editId="0642E99B">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1348B1AF" w14:textId="77777777" w:rsidR="004118BC" w:rsidRPr="00B8081C" w:rsidRDefault="004118BC" w:rsidP="00EE1D65">
      <w:pPr>
        <w:pStyle w:val="NoSpacing"/>
        <w:rPr>
          <w:rFonts w:ascii="Arial" w:hAnsi="Arial" w:cs="Arial"/>
        </w:rPr>
      </w:pPr>
    </w:p>
    <w:p w14:paraId="66D53E3E" w14:textId="77777777" w:rsidR="004118BC" w:rsidRPr="00B8081C" w:rsidRDefault="004118BC" w:rsidP="00EE1D65">
      <w:pPr>
        <w:pStyle w:val="NoSpacing"/>
        <w:rPr>
          <w:rFonts w:ascii="Arial" w:hAnsi="Arial" w:cs="Arial"/>
        </w:rPr>
      </w:pPr>
    </w:p>
    <w:p w14:paraId="1DC1CF28" w14:textId="77777777" w:rsidR="004118BC" w:rsidRPr="00B8081C" w:rsidRDefault="004118BC" w:rsidP="00EE1D65">
      <w:pPr>
        <w:pStyle w:val="NoSpacing"/>
        <w:rPr>
          <w:rFonts w:ascii="Arial" w:hAnsi="Arial" w:cs="Arial"/>
        </w:rPr>
      </w:pPr>
    </w:p>
    <w:p w14:paraId="1B1A1136" w14:textId="57B51CE7" w:rsidR="004118BC" w:rsidRDefault="00270E27" w:rsidP="00270E27">
      <w:pPr>
        <w:pStyle w:val="NoSpacing"/>
        <w:jc w:val="center"/>
        <w:rPr>
          <w:rFonts w:ascii="Arial" w:hAnsi="Arial" w:cs="Arial"/>
        </w:rPr>
      </w:pPr>
      <w:r>
        <w:rPr>
          <w:rFonts w:ascii="Arial" w:hAnsi="Arial" w:cs="Arial"/>
          <w:noProof/>
        </w:rPr>
        <w:drawing>
          <wp:inline distT="0" distB="0" distL="0" distR="0" wp14:anchorId="5A22A22F" wp14:editId="7DB4BDDC">
            <wp:extent cx="1727806" cy="1543050"/>
            <wp:effectExtent l="0" t="0" r="6350" b="0"/>
            <wp:docPr id="4" name="Picture 4" descr="\\server\management$\vanessa.conlan\My Documents\0ADMIN\New logo\DSPPE_SL_RGB_po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nagement$\vanessa.conlan\My Documents\0ADMIN\New logo\DSPPE_SL_RGB_pos_H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661" cy="1546493"/>
                    </a:xfrm>
                    <a:prstGeom prst="rect">
                      <a:avLst/>
                    </a:prstGeom>
                    <a:noFill/>
                    <a:ln>
                      <a:noFill/>
                    </a:ln>
                  </pic:spPr>
                </pic:pic>
              </a:graphicData>
            </a:graphic>
          </wp:inline>
        </w:drawing>
      </w:r>
    </w:p>
    <w:p w14:paraId="19E4AA7E" w14:textId="7B8ADF98" w:rsidR="00270E27" w:rsidRDefault="00270E27" w:rsidP="00270E27">
      <w:pPr>
        <w:pStyle w:val="NoSpacing"/>
        <w:jc w:val="center"/>
        <w:rPr>
          <w:rFonts w:ascii="Arial" w:hAnsi="Arial" w:cs="Arial"/>
        </w:rPr>
      </w:pPr>
    </w:p>
    <w:p w14:paraId="19B0D045" w14:textId="2F3298E5" w:rsidR="00057FDC" w:rsidRDefault="00057FDC" w:rsidP="00270E27">
      <w:pPr>
        <w:pStyle w:val="NoSpacing"/>
        <w:jc w:val="center"/>
        <w:rPr>
          <w:rFonts w:ascii="Arial" w:hAnsi="Arial" w:cs="Arial"/>
        </w:rPr>
      </w:pPr>
    </w:p>
    <w:p w14:paraId="43205B03" w14:textId="77777777" w:rsidR="00057FDC" w:rsidRDefault="00057FDC" w:rsidP="00270E27">
      <w:pPr>
        <w:pStyle w:val="NoSpacing"/>
        <w:jc w:val="center"/>
        <w:rPr>
          <w:rFonts w:ascii="Arial" w:hAnsi="Arial" w:cs="Arial"/>
        </w:rPr>
      </w:pPr>
      <w:bookmarkStart w:id="0" w:name="_GoBack"/>
      <w:bookmarkEnd w:id="0"/>
    </w:p>
    <w:p w14:paraId="746D6A21" w14:textId="77777777" w:rsidR="00270E27" w:rsidRPr="00B8081C" w:rsidRDefault="00270E27" w:rsidP="00270E27">
      <w:pPr>
        <w:pStyle w:val="NoSpacing"/>
        <w:jc w:val="center"/>
        <w:rPr>
          <w:rFonts w:ascii="Arial" w:hAnsi="Arial" w:cs="Arial"/>
        </w:rPr>
      </w:pPr>
    </w:p>
    <w:p w14:paraId="52130AF9" w14:textId="77777777" w:rsidR="004118BC" w:rsidRPr="00B8081C" w:rsidRDefault="004118BC" w:rsidP="00EE1D65">
      <w:pPr>
        <w:pStyle w:val="NoSpacing"/>
        <w:jc w:val="center"/>
        <w:rPr>
          <w:rFonts w:ascii="Arial" w:hAnsi="Arial" w:cs="Arial"/>
        </w:rPr>
      </w:pPr>
    </w:p>
    <w:p w14:paraId="7E46F6A6" w14:textId="0BF33E24" w:rsidR="00DC0417" w:rsidRPr="00DC0417" w:rsidRDefault="00623061" w:rsidP="00DC0417">
      <w:pPr>
        <w:pStyle w:val="Title"/>
      </w:pPr>
      <w:r>
        <w:t xml:space="preserve">Safeguarding Risk Assessment: Welfare, Health and Safety </w:t>
      </w:r>
      <w:r w:rsidR="00DC0417" w:rsidRPr="00DC0417">
        <w:t xml:space="preserve">Policy </w:t>
      </w:r>
    </w:p>
    <w:p w14:paraId="18F68348" w14:textId="77777777" w:rsidR="00476E6F" w:rsidRPr="00B8081C" w:rsidRDefault="00476E6F" w:rsidP="00DC0417">
      <w:pPr>
        <w:pStyle w:val="NoSpacing"/>
        <w:rPr>
          <w:rFonts w:ascii="Arial" w:hAnsi="Arial" w:cs="Arial"/>
          <w:b/>
          <w:sz w:val="52"/>
          <w:szCs w:val="32"/>
        </w:rPr>
      </w:pPr>
    </w:p>
    <w:p w14:paraId="6420876D" w14:textId="224357C4" w:rsidR="00D651FD" w:rsidRPr="00B8081C" w:rsidRDefault="00DC0417" w:rsidP="00FA047A">
      <w:pPr>
        <w:pStyle w:val="Title"/>
      </w:pPr>
      <w:r>
        <w:t>September</w:t>
      </w:r>
      <w:r w:rsidR="00BA7104">
        <w:t xml:space="preserve"> </w:t>
      </w:r>
      <w:r w:rsidR="00A44A74">
        <w:t>201</w:t>
      </w:r>
      <w:r w:rsidR="00057FDC">
        <w:t>9</w:t>
      </w:r>
    </w:p>
    <w:p w14:paraId="440AB6A0" w14:textId="77777777" w:rsidR="00D651FD" w:rsidRDefault="00D651FD" w:rsidP="00D651FD">
      <w:pPr>
        <w:pStyle w:val="NoSpacing"/>
        <w:rPr>
          <w:rFonts w:ascii="Arial" w:hAnsi="Arial" w:cs="Arial"/>
          <w:b/>
          <w:sz w:val="52"/>
          <w:szCs w:val="32"/>
        </w:rPr>
      </w:pPr>
    </w:p>
    <w:p w14:paraId="59B73F85" w14:textId="77777777" w:rsidR="00D3287F" w:rsidRDefault="00D3287F" w:rsidP="00D651FD">
      <w:pPr>
        <w:pStyle w:val="NoSpacing"/>
        <w:rPr>
          <w:rFonts w:ascii="Arial" w:hAnsi="Arial" w:cs="Arial"/>
          <w:b/>
          <w:sz w:val="52"/>
          <w:szCs w:val="32"/>
        </w:rPr>
      </w:pPr>
    </w:p>
    <w:p w14:paraId="20B91C27" w14:textId="5ADA5506" w:rsidR="00D24901" w:rsidRPr="00DC0417" w:rsidRDefault="004118BC" w:rsidP="00EE1D65">
      <w:pPr>
        <w:pStyle w:val="NoSpacing"/>
      </w:pPr>
      <w:r w:rsidRPr="00B8081C">
        <w:rPr>
          <w:rFonts w:ascii="Arial" w:hAnsi="Arial" w:cs="Arial"/>
        </w:rPr>
        <w:br w:type="page"/>
      </w:r>
    </w:p>
    <w:p w14:paraId="7879B53E" w14:textId="4CA7CE52" w:rsidR="0097581B" w:rsidRPr="00B8081C" w:rsidRDefault="00623061" w:rsidP="00CB0744">
      <w:pPr>
        <w:pStyle w:val="Heading1"/>
      </w:pPr>
      <w:r>
        <w:lastRenderedPageBreak/>
        <w:t>Purpose</w:t>
      </w:r>
    </w:p>
    <w:p w14:paraId="7E126873" w14:textId="13D26A71" w:rsidR="00623061" w:rsidRDefault="00623061" w:rsidP="00623061">
      <w:pPr>
        <w:pStyle w:val="Heading2"/>
        <w:rPr>
          <w:lang w:val="en-AU"/>
        </w:rPr>
      </w:pPr>
      <w:r w:rsidRPr="008C6C82">
        <w:t xml:space="preserve">The </w:t>
      </w:r>
      <w:r w:rsidRPr="008C6C82">
        <w:rPr>
          <w:lang w:val="en-AU"/>
        </w:rPr>
        <w:t xml:space="preserve">purpose of this policy is to outline how we use risk assessments in order to (a) promote the health and safety of </w:t>
      </w:r>
      <w:r w:rsidR="00F440EE">
        <w:rPr>
          <w:lang w:val="en-AU"/>
        </w:rPr>
        <w:t xml:space="preserve">all </w:t>
      </w:r>
      <w:r w:rsidRPr="008C6C82">
        <w:rPr>
          <w:lang w:val="en-AU"/>
        </w:rPr>
        <w:t xml:space="preserve">pupils, </w:t>
      </w:r>
      <w:r w:rsidR="00F440EE">
        <w:rPr>
          <w:lang w:val="en-AU"/>
        </w:rPr>
        <w:t xml:space="preserve">including those in the EYFS, </w:t>
      </w:r>
      <w:r w:rsidRPr="008C6C82">
        <w:rPr>
          <w:lang w:val="en-AU"/>
        </w:rPr>
        <w:t>staff, parents and visitors and (b) safeguard the welfare and pastoral care of all pupils.</w:t>
      </w:r>
    </w:p>
    <w:p w14:paraId="5CA2F6C8" w14:textId="77777777" w:rsidR="00623061" w:rsidRPr="00623061" w:rsidRDefault="00623061" w:rsidP="00623061">
      <w:pPr>
        <w:pStyle w:val="NoSpacing"/>
        <w:rPr>
          <w:lang w:val="en-AU"/>
        </w:rPr>
      </w:pPr>
    </w:p>
    <w:p w14:paraId="233E0B1A" w14:textId="77777777" w:rsidR="00623061" w:rsidRDefault="00623061" w:rsidP="00623061">
      <w:pPr>
        <w:pStyle w:val="Heading2"/>
        <w:rPr>
          <w:lang w:val="en-AU"/>
        </w:rPr>
      </w:pPr>
      <w:r w:rsidRPr="008C6C82">
        <w:rPr>
          <w:lang w:val="en-AU"/>
        </w:rPr>
        <w:t>Not only is it a legal requirement for schools to carry out risk assessments, but we believe that the effective use of risk assessments is the best way to identify and minimise risks and prevent harm. They can cover our pupils, our buildings, our grounds, our staff, visitors and parents, as well as our daily routines and all school events and visits offsite.</w:t>
      </w:r>
    </w:p>
    <w:p w14:paraId="72E22C12" w14:textId="77777777" w:rsidR="00623061" w:rsidRPr="00623061" w:rsidRDefault="00623061" w:rsidP="00623061">
      <w:pPr>
        <w:pStyle w:val="NoSpacing"/>
        <w:rPr>
          <w:lang w:val="en-AU"/>
        </w:rPr>
      </w:pPr>
    </w:p>
    <w:p w14:paraId="1E3C99B9" w14:textId="77777777" w:rsidR="00623061" w:rsidRDefault="00623061" w:rsidP="00623061">
      <w:pPr>
        <w:pStyle w:val="Heading2"/>
      </w:pPr>
      <w:proofErr w:type="spellStart"/>
      <w:r w:rsidRPr="008C6C82">
        <w:t>Cognita</w:t>
      </w:r>
      <w:proofErr w:type="spellEnd"/>
      <w:r w:rsidRPr="008C6C82">
        <w:t xml:space="preserve"> Schools are fully committed to promoting the welfare, health and safety of all those in our community so that high quality education can take place. Our highest priority lies in ensuring that everything within the school environment is delivered in a safe manner that complies both with the law and with best practice.</w:t>
      </w:r>
    </w:p>
    <w:p w14:paraId="69C1B170" w14:textId="77777777" w:rsidR="00623061" w:rsidRPr="00623061" w:rsidRDefault="00623061" w:rsidP="00623061">
      <w:pPr>
        <w:pStyle w:val="NoSpacing"/>
      </w:pPr>
    </w:p>
    <w:p w14:paraId="15E2074E" w14:textId="77777777" w:rsidR="00623061" w:rsidRPr="008C6C82" w:rsidRDefault="00623061" w:rsidP="00623061">
      <w:pPr>
        <w:pStyle w:val="Heading2"/>
        <w:rPr>
          <w:lang w:val="en-AU"/>
        </w:rPr>
      </w:pPr>
      <w:r w:rsidRPr="008C6C82">
        <w:t xml:space="preserve">A </w:t>
      </w:r>
      <w:r w:rsidRPr="008C6C82">
        <w:rPr>
          <w:lang w:val="en-AU"/>
        </w:rPr>
        <w:t xml:space="preserve">risk assessment is a formal examination of the factors which may cause harm to people. It involves setting out </w:t>
      </w:r>
      <w:r w:rsidRPr="008C6C82">
        <w:t>the</w:t>
      </w:r>
      <w:r w:rsidRPr="008C6C82">
        <w:rPr>
          <w:lang w:val="en-AU"/>
        </w:rPr>
        <w:t xml:space="preserve"> ways in which these factors can be minimised and managed and assessing the adequacy of current procedures. </w:t>
      </w:r>
    </w:p>
    <w:p w14:paraId="1A2870E4" w14:textId="77777777" w:rsidR="00FA047A" w:rsidRPr="00623061" w:rsidRDefault="00FA047A" w:rsidP="00FA047A">
      <w:pPr>
        <w:pStyle w:val="NoSpacing"/>
        <w:rPr>
          <w:lang w:val="en-AU"/>
        </w:rPr>
      </w:pPr>
    </w:p>
    <w:p w14:paraId="58343821" w14:textId="0AA170AC" w:rsidR="00623061" w:rsidRPr="00623061" w:rsidRDefault="00623061" w:rsidP="00623061">
      <w:pPr>
        <w:pStyle w:val="Heading1"/>
      </w:pPr>
      <w:r>
        <w:t>The School’s D</w:t>
      </w:r>
      <w:r w:rsidRPr="00623061">
        <w:t>uties</w:t>
      </w:r>
    </w:p>
    <w:p w14:paraId="665A2A92" w14:textId="3A074AEF" w:rsidR="00623061" w:rsidRDefault="00623061" w:rsidP="00623061">
      <w:pPr>
        <w:pStyle w:val="Heading2"/>
        <w:rPr>
          <w:lang w:val="en-AU"/>
        </w:rPr>
      </w:pPr>
      <w:r w:rsidRPr="008C6C82">
        <w:rPr>
          <w:lang w:val="en-AU"/>
        </w:rPr>
        <w:t xml:space="preserve">The school is under a duty to safeguard and promote the welfare and health and safety of all children and young people in the school. Its main obligations in this regard are set out in </w:t>
      </w:r>
      <w:r w:rsidRPr="008C6C82">
        <w:rPr>
          <w:color w:val="000000" w:themeColor="text1"/>
          <w:lang w:val="en-AU"/>
        </w:rPr>
        <w:t xml:space="preserve">Part 3 of the Education (Independent School Standards) Regulations 2014 and in Keeping Children Safe in Education (September 2016, as amended) </w:t>
      </w:r>
      <w:r w:rsidRPr="008C6C82">
        <w:rPr>
          <w:lang w:val="en-AU"/>
        </w:rPr>
        <w:t>and associated Department</w:t>
      </w:r>
      <w:r w:rsidR="00270E27">
        <w:rPr>
          <w:lang w:val="en-AU"/>
        </w:rPr>
        <w:t xml:space="preserve"> for Education guidance. </w:t>
      </w:r>
      <w:r w:rsidRPr="008C6C82">
        <w:rPr>
          <w:lang w:val="en-AU"/>
        </w:rPr>
        <w:t>The school's duties include (a) supporting children's physical and mental health and emotional well-being; (b) protecting children from harm and neglect; (c) ensuring that all forms of corporal punishment are prohibited; (d) encouraging children to contribute positively to society; (e) providing a safe and healthy environment; (f) improving the provision for disabled children; and (g) managing welfare concerns effectively.</w:t>
      </w:r>
    </w:p>
    <w:p w14:paraId="6E6C2BE8" w14:textId="77777777" w:rsidR="00623061" w:rsidRPr="00623061" w:rsidRDefault="00623061" w:rsidP="00623061">
      <w:pPr>
        <w:pStyle w:val="NoSpacing"/>
        <w:rPr>
          <w:lang w:val="en-AU"/>
        </w:rPr>
      </w:pPr>
    </w:p>
    <w:p w14:paraId="2C20020D" w14:textId="77777777" w:rsidR="00623061" w:rsidRDefault="00623061" w:rsidP="00623061">
      <w:pPr>
        <w:pStyle w:val="Heading2"/>
        <w:rPr>
          <w:rFonts w:eastAsia="Malgun Gothic"/>
          <w:lang w:val="en-AU"/>
        </w:rPr>
      </w:pPr>
      <w:r w:rsidRPr="008C6C82">
        <w:rPr>
          <w:lang w:val="en-AU"/>
        </w:rPr>
        <w:t xml:space="preserve">The school is also under a duty to look after the health and safety of its staff, parents and visitors. Its main obligations in this regard are set out in </w:t>
      </w:r>
      <w:r w:rsidRPr="008C6C82">
        <w:rPr>
          <w:rFonts w:eastAsia="Malgun Gothic"/>
          <w:lang w:val="en-AU"/>
        </w:rPr>
        <w:t xml:space="preserve">the Health and Safety at Work Act 1974 and associated statutory instruments, and Health and Safety Executive guidance. </w:t>
      </w:r>
    </w:p>
    <w:p w14:paraId="46DD50AD" w14:textId="77777777" w:rsidR="00623061" w:rsidRPr="00623061" w:rsidRDefault="00623061" w:rsidP="00623061">
      <w:pPr>
        <w:pStyle w:val="NoSpacing"/>
        <w:rPr>
          <w:lang w:val="en-AU"/>
        </w:rPr>
      </w:pPr>
    </w:p>
    <w:p w14:paraId="62FB6C7C" w14:textId="44D297AD" w:rsidR="00623061" w:rsidRDefault="00623061" w:rsidP="00623061">
      <w:pPr>
        <w:pStyle w:val="Heading2"/>
        <w:rPr>
          <w:color w:val="000000" w:themeColor="text1"/>
          <w:lang w:val="en-AU"/>
        </w:rPr>
      </w:pPr>
      <w:r w:rsidRPr="008C6C82">
        <w:rPr>
          <w:lang w:val="en-AU"/>
        </w:rPr>
        <w:t xml:space="preserve">This policy covers the school's duties set out in the Statutory Framework for the Early Years </w:t>
      </w:r>
      <w:r w:rsidRPr="008C6C82">
        <w:rPr>
          <w:color w:val="000000" w:themeColor="text1"/>
          <w:lang w:val="en-AU"/>
        </w:rPr>
        <w:t xml:space="preserve">Foundation Stage (April 2017, as amended). </w:t>
      </w:r>
    </w:p>
    <w:p w14:paraId="336CDE2E" w14:textId="77777777" w:rsidR="00623061" w:rsidRPr="00623061" w:rsidRDefault="00623061" w:rsidP="00623061">
      <w:pPr>
        <w:pStyle w:val="NoSpacing"/>
        <w:rPr>
          <w:lang w:val="en-AU"/>
        </w:rPr>
      </w:pPr>
    </w:p>
    <w:p w14:paraId="627DC0FD" w14:textId="77777777" w:rsidR="00623061" w:rsidRDefault="00623061" w:rsidP="00623061">
      <w:pPr>
        <w:pStyle w:val="Heading2"/>
        <w:rPr>
          <w:lang w:val="en-AU"/>
        </w:rPr>
      </w:pPr>
      <w:r w:rsidRPr="008C6C82">
        <w:rPr>
          <w:lang w:val="en-AU"/>
        </w:rPr>
        <w:t xml:space="preserve">This policy is drawn up and implemented in accordance with the above regulations and the Management of Health and Safety at Work Regulations which requires schools to carry out suitable and </w:t>
      </w:r>
      <w:proofErr w:type="gramStart"/>
      <w:r w:rsidRPr="008C6C82">
        <w:rPr>
          <w:lang w:val="en-AU"/>
        </w:rPr>
        <w:t>sufficient</w:t>
      </w:r>
      <w:proofErr w:type="gramEnd"/>
      <w:r w:rsidRPr="008C6C82">
        <w:rPr>
          <w:lang w:val="en-AU"/>
        </w:rPr>
        <w:t xml:space="preserve"> assessments of all the significant risks to employees.  </w:t>
      </w:r>
    </w:p>
    <w:p w14:paraId="6FD90A5B" w14:textId="77777777" w:rsidR="00623061" w:rsidRDefault="00623061">
      <w:pPr>
        <w:jc w:val="left"/>
      </w:pPr>
    </w:p>
    <w:p w14:paraId="6A879B41" w14:textId="2D10C5D6" w:rsidR="00623061" w:rsidRPr="00623061" w:rsidRDefault="00623061" w:rsidP="00623061">
      <w:pPr>
        <w:pStyle w:val="Heading1"/>
        <w:rPr>
          <w:rFonts w:asciiTheme="minorHAnsi" w:hAnsiTheme="minorHAnsi"/>
        </w:rPr>
      </w:pPr>
      <w:bookmarkStart w:id="1" w:name="_Toc381955391"/>
      <w:r w:rsidRPr="008C6C82">
        <w:rPr>
          <w:rFonts w:asciiTheme="minorHAnsi" w:hAnsiTheme="minorHAnsi"/>
        </w:rPr>
        <w:t>Policy</w:t>
      </w:r>
      <w:bookmarkEnd w:id="1"/>
      <w:r>
        <w:rPr>
          <w:rFonts w:asciiTheme="minorHAnsi" w:hAnsiTheme="minorHAnsi"/>
        </w:rPr>
        <w:t xml:space="preserve">: </w:t>
      </w:r>
      <w:r w:rsidRPr="00623061">
        <w:t>What is a risk assessment and why do we need one?</w:t>
      </w:r>
    </w:p>
    <w:p w14:paraId="6F5C0F36" w14:textId="77777777" w:rsidR="00623061" w:rsidRDefault="00623061" w:rsidP="00623061">
      <w:pPr>
        <w:pStyle w:val="Heading2"/>
      </w:pPr>
      <w:r w:rsidRPr="008C6C82">
        <w:t xml:space="preserve">A risk assessment is a tool for conducting a formal examination of the harm or hazard to people (or an organisation) that could result from a </w:t>
      </w:r>
      <w:proofErr w:type="gramStart"/>
      <w:r w:rsidRPr="008C6C82">
        <w:t>particular activity</w:t>
      </w:r>
      <w:proofErr w:type="gramEnd"/>
      <w:r w:rsidRPr="008C6C82">
        <w:t xml:space="preserve"> or situation. </w:t>
      </w:r>
    </w:p>
    <w:p w14:paraId="660CAA41" w14:textId="77777777" w:rsidR="00D3287F" w:rsidRPr="00D3287F" w:rsidRDefault="00D3287F" w:rsidP="00AA55C9">
      <w:pPr>
        <w:pStyle w:val="NoSpacing"/>
        <w:rPr>
          <w:rFonts w:eastAsia="Malgun Gothic"/>
        </w:rPr>
      </w:pPr>
    </w:p>
    <w:p w14:paraId="39C07B76" w14:textId="7527E318" w:rsidR="00623061" w:rsidRDefault="00623061" w:rsidP="00AA55C9">
      <w:pPr>
        <w:pStyle w:val="Heading3"/>
      </w:pPr>
      <w:r w:rsidRPr="008C6C82">
        <w:t xml:space="preserve">A hazard is something with the potential to cause harm (e.g. fire). </w:t>
      </w:r>
    </w:p>
    <w:p w14:paraId="0EEC70C2" w14:textId="77777777" w:rsidR="00D3287F" w:rsidRPr="00D3287F" w:rsidRDefault="00D3287F" w:rsidP="00AA55C9">
      <w:pPr>
        <w:pStyle w:val="NoSpacing"/>
        <w:rPr>
          <w:rFonts w:eastAsia="Malgun Gothic"/>
        </w:rPr>
      </w:pPr>
    </w:p>
    <w:p w14:paraId="284D26A0" w14:textId="69E74B44" w:rsidR="00623061" w:rsidRDefault="00623061" w:rsidP="00AA55C9">
      <w:pPr>
        <w:pStyle w:val="Heading3"/>
      </w:pPr>
      <w:r w:rsidRPr="008C6C82">
        <w:t xml:space="preserve">A risk assessment looks at both the likelihood of a risk </w:t>
      </w:r>
      <w:proofErr w:type="gramStart"/>
      <w:r w:rsidRPr="008C6C82">
        <w:t>occurring</w:t>
      </w:r>
      <w:proofErr w:type="gramEnd"/>
      <w:r w:rsidRPr="008C6C82">
        <w:t xml:space="preserve"> and the seriousness of the outcome should the risk occur (e.g. loss of life, destruction of property).</w:t>
      </w:r>
    </w:p>
    <w:p w14:paraId="1FAE8098" w14:textId="77777777" w:rsidR="00D3287F" w:rsidRPr="00D3287F" w:rsidRDefault="00D3287F" w:rsidP="00AA55C9">
      <w:pPr>
        <w:pStyle w:val="NoSpacing"/>
        <w:rPr>
          <w:rFonts w:eastAsia="Malgun Gothic"/>
        </w:rPr>
      </w:pPr>
    </w:p>
    <w:p w14:paraId="32CF89EA" w14:textId="58E228CC" w:rsidR="00623061" w:rsidRDefault="00623061" w:rsidP="00AA55C9">
      <w:pPr>
        <w:pStyle w:val="Heading3"/>
      </w:pPr>
      <w:r w:rsidRPr="008C6C82">
        <w:t>Risk control measures are the measures and procedures that are put in place in order to minimise the consequences of unfettered risk (e.g. staff training, clear work procedures, heat detectors, fire alarms, fire practices, gas and electrical shut down points and insurance).</w:t>
      </w:r>
    </w:p>
    <w:p w14:paraId="048810F4" w14:textId="77777777" w:rsidR="00D3287F" w:rsidRPr="00D3287F" w:rsidRDefault="00D3287F" w:rsidP="00AA55C9">
      <w:pPr>
        <w:pStyle w:val="NoSpacing"/>
        <w:rPr>
          <w:rFonts w:eastAsia="Malgun Gothic"/>
        </w:rPr>
      </w:pPr>
    </w:p>
    <w:p w14:paraId="5EEA9BEA" w14:textId="77777777" w:rsidR="00623061" w:rsidRDefault="00623061" w:rsidP="00623061">
      <w:pPr>
        <w:pStyle w:val="Heading2"/>
      </w:pPr>
      <w:r w:rsidRPr="008C6C82">
        <w:lastRenderedPageBreak/>
        <w:t xml:space="preserve">Accidents and injuries can ruin lives, damage reputations and cost money. Risk assessments are a fundamental part of any school’s procedures – they make good sense and they enable schools to focus on prevention rather than reacting when things go wrong. In many cases risk assessments enable schools to implement simple measures which are easy to </w:t>
      </w:r>
      <w:proofErr w:type="gramStart"/>
      <w:r w:rsidRPr="008C6C82">
        <w:t>implement</w:t>
      </w:r>
      <w:proofErr w:type="gramEnd"/>
      <w:r w:rsidRPr="008C6C82">
        <w:t xml:space="preserve"> and which are very effective. </w:t>
      </w:r>
    </w:p>
    <w:p w14:paraId="2ACC22A5" w14:textId="77777777" w:rsidR="00623061" w:rsidRPr="00623061" w:rsidRDefault="00623061" w:rsidP="00623061">
      <w:pPr>
        <w:pStyle w:val="NoSpacing"/>
      </w:pPr>
    </w:p>
    <w:p w14:paraId="696C4BE7" w14:textId="284BCFCE" w:rsidR="00623061" w:rsidRDefault="00623061" w:rsidP="00623061">
      <w:pPr>
        <w:pStyle w:val="Heading2"/>
      </w:pPr>
      <w:r w:rsidRPr="008C6C82">
        <w:t xml:space="preserve">Our risk assessments are reviewed and updated regularly. </w:t>
      </w:r>
      <w:r w:rsidR="00057FDC">
        <w:rPr>
          <w:szCs w:val="22"/>
        </w:rPr>
        <w:t>It will be clear when risk assessments should be completed and by whom, any system of authorisation, recording procedures, training for staff and a system for monitoring and evaluating effectiveness.</w:t>
      </w:r>
    </w:p>
    <w:p w14:paraId="7459CF6E" w14:textId="77777777" w:rsidR="00623061" w:rsidRPr="00623061" w:rsidRDefault="00623061" w:rsidP="00623061">
      <w:pPr>
        <w:pStyle w:val="NoSpacing"/>
      </w:pPr>
    </w:p>
    <w:p w14:paraId="7AA8CC55" w14:textId="77777777" w:rsidR="00623061" w:rsidRDefault="00623061" w:rsidP="00623061">
      <w:pPr>
        <w:pStyle w:val="Heading2"/>
        <w:rPr>
          <w:color w:val="000000" w:themeColor="text1"/>
        </w:rPr>
      </w:pPr>
      <w:r w:rsidRPr="008C6C82">
        <w:t xml:space="preserve">All staff and pupils receive training to ensure they are competent and confident in assessing and </w:t>
      </w:r>
      <w:r w:rsidRPr="008C6C82">
        <w:rPr>
          <w:color w:val="000000" w:themeColor="text1"/>
        </w:rPr>
        <w:t>managing risk appropriate to their needs.</w:t>
      </w:r>
    </w:p>
    <w:p w14:paraId="3477B7B5" w14:textId="77777777" w:rsidR="00623061" w:rsidRPr="00623061" w:rsidRDefault="00623061" w:rsidP="00623061">
      <w:pPr>
        <w:pStyle w:val="NoSpacing"/>
      </w:pPr>
    </w:p>
    <w:p w14:paraId="672E65DA" w14:textId="340A594D" w:rsidR="00623061" w:rsidRDefault="00623061" w:rsidP="00623061">
      <w:pPr>
        <w:pStyle w:val="Heading2"/>
        <w:rPr>
          <w:lang w:val="en-AU"/>
        </w:rPr>
      </w:pPr>
      <w:r w:rsidRPr="008C6C82">
        <w:t xml:space="preserve">Risk assessments will cover all matters considered of risk to the school community. </w:t>
      </w:r>
      <w:r w:rsidRPr="008C6C82">
        <w:rPr>
          <w:lang w:val="en-AU"/>
        </w:rPr>
        <w:t xml:space="preserve"> Examples of these are set out below.  </w:t>
      </w:r>
      <w:bookmarkStart w:id="2" w:name="_Toc381955409"/>
    </w:p>
    <w:p w14:paraId="116BAD9A" w14:textId="77777777" w:rsidR="00623061" w:rsidRPr="00623061" w:rsidRDefault="00623061" w:rsidP="00623061">
      <w:pPr>
        <w:pStyle w:val="NoSpacing"/>
        <w:rPr>
          <w:lang w:val="en-AU"/>
        </w:rPr>
      </w:pPr>
    </w:p>
    <w:p w14:paraId="7A065786" w14:textId="5A6732D3" w:rsidR="00623061" w:rsidRDefault="00623061" w:rsidP="00623061">
      <w:pPr>
        <w:pStyle w:val="Heading1"/>
      </w:pPr>
      <w:r w:rsidRPr="003253CE">
        <w:t>Procedure</w:t>
      </w:r>
      <w:r>
        <w:rPr>
          <w:lang w:val="en-AU"/>
        </w:rPr>
        <w:t xml:space="preserve"> and R</w:t>
      </w:r>
      <w:r w:rsidRPr="003253CE">
        <w:rPr>
          <w:lang w:val="en-AU"/>
        </w:rPr>
        <w:t>esponsibilities</w:t>
      </w:r>
      <w:bookmarkEnd w:id="2"/>
    </w:p>
    <w:p w14:paraId="6058AF22" w14:textId="65D858A6" w:rsidR="00623061" w:rsidRDefault="00623061" w:rsidP="00623061">
      <w:pPr>
        <w:pStyle w:val="Heading2"/>
      </w:pPr>
      <w:r w:rsidRPr="008C6C82">
        <w:t xml:space="preserve">There are numerous activities carried out in our school, each of which requires a separate risk </w:t>
      </w:r>
      <w:r>
        <w:t xml:space="preserve">assessment. </w:t>
      </w:r>
      <w:r w:rsidRPr="008C6C82">
        <w:t xml:space="preserve">The most important of </w:t>
      </w:r>
      <w:proofErr w:type="gramStart"/>
      <w:r w:rsidRPr="008C6C82">
        <w:t>these cover</w:t>
      </w:r>
      <w:proofErr w:type="gramEnd"/>
      <w:r w:rsidRPr="008C6C82">
        <w:t>:</w:t>
      </w:r>
    </w:p>
    <w:p w14:paraId="1915345B" w14:textId="77777777" w:rsidR="00D3287F" w:rsidRPr="00D3287F" w:rsidRDefault="00D3287F" w:rsidP="00AA55C9">
      <w:pPr>
        <w:pStyle w:val="NoSpacing"/>
      </w:pPr>
    </w:p>
    <w:p w14:paraId="0D7D5987" w14:textId="6BEDD29C" w:rsidR="00623061" w:rsidRDefault="00623061" w:rsidP="00AA55C9">
      <w:pPr>
        <w:pStyle w:val="Heading3"/>
      </w:pPr>
      <w:r w:rsidRPr="008C6C82">
        <w:t>Pupil welfare (medical needs, supervision, school visits)</w:t>
      </w:r>
      <w:r>
        <w:t>;</w:t>
      </w:r>
    </w:p>
    <w:p w14:paraId="5D8636F0" w14:textId="77777777" w:rsidR="00D3287F" w:rsidRPr="00D3287F" w:rsidRDefault="00D3287F" w:rsidP="00AA55C9">
      <w:pPr>
        <w:pStyle w:val="NoSpacing"/>
      </w:pPr>
    </w:p>
    <w:p w14:paraId="46CBB38E" w14:textId="64EAC1D2" w:rsidR="00623061" w:rsidRDefault="00623061" w:rsidP="00AA55C9">
      <w:pPr>
        <w:pStyle w:val="Heading3"/>
      </w:pPr>
      <w:r w:rsidRPr="00623061">
        <w:t>Health and safety (premises, equipment, public rights of way);</w:t>
      </w:r>
    </w:p>
    <w:p w14:paraId="00F671A7" w14:textId="77777777" w:rsidR="00D3287F" w:rsidRPr="00D3287F" w:rsidRDefault="00D3287F" w:rsidP="00AA55C9">
      <w:pPr>
        <w:pStyle w:val="NoSpacing"/>
      </w:pPr>
    </w:p>
    <w:p w14:paraId="36B65E0B" w14:textId="531FF525" w:rsidR="00623061" w:rsidRDefault="00623061" w:rsidP="00AA55C9">
      <w:pPr>
        <w:pStyle w:val="Heading3"/>
      </w:pPr>
      <w:r w:rsidRPr="00623061">
        <w:t>Recruitment;</w:t>
      </w:r>
    </w:p>
    <w:p w14:paraId="0972CCB1" w14:textId="77777777" w:rsidR="00D3287F" w:rsidRPr="00D3287F" w:rsidRDefault="00D3287F" w:rsidP="00AA55C9">
      <w:pPr>
        <w:pStyle w:val="NoSpacing"/>
      </w:pPr>
    </w:p>
    <w:p w14:paraId="369EE8BA" w14:textId="0739BA15" w:rsidR="00623061" w:rsidRDefault="00623061" w:rsidP="00AA55C9">
      <w:pPr>
        <w:pStyle w:val="Heading3"/>
      </w:pPr>
      <w:r w:rsidRPr="00623061">
        <w:t>Safeguarding (Prevent, bullying);</w:t>
      </w:r>
    </w:p>
    <w:p w14:paraId="14235E8C" w14:textId="77777777" w:rsidR="00D3287F" w:rsidRPr="00D3287F" w:rsidRDefault="00D3287F" w:rsidP="00AA55C9">
      <w:pPr>
        <w:pStyle w:val="NoSpacing"/>
      </w:pPr>
    </w:p>
    <w:p w14:paraId="3B4092A1" w14:textId="25F9CFA1" w:rsidR="00623061" w:rsidRDefault="00623061" w:rsidP="00AA55C9">
      <w:pPr>
        <w:pStyle w:val="Heading3"/>
      </w:pPr>
      <w:r w:rsidRPr="00623061">
        <w:t xml:space="preserve">Lessons and educational </w:t>
      </w:r>
      <w:r w:rsidR="00CF6D15">
        <w:t xml:space="preserve">activities </w:t>
      </w:r>
      <w:r w:rsidRPr="00623061">
        <w:t>(science, technology, recreation, sport);</w:t>
      </w:r>
    </w:p>
    <w:p w14:paraId="2BEEE156" w14:textId="77777777" w:rsidR="00D3287F" w:rsidRPr="00D3287F" w:rsidRDefault="00D3287F" w:rsidP="00AA55C9">
      <w:pPr>
        <w:pStyle w:val="NoSpacing"/>
      </w:pPr>
    </w:p>
    <w:p w14:paraId="1CCB0B38" w14:textId="5E6B5E26" w:rsidR="00623061" w:rsidRDefault="00623061" w:rsidP="00AA55C9">
      <w:pPr>
        <w:pStyle w:val="Heading3"/>
      </w:pPr>
      <w:r w:rsidRPr="00623061">
        <w:t>Early years;</w:t>
      </w:r>
      <w:r w:rsidR="00057FDC">
        <w:t xml:space="preserve"> </w:t>
      </w:r>
      <w:r w:rsidR="00057FDC">
        <w:t>(breaktime and lunchtime supervision arrangements, aspects of the EYFS environment to be checked on a regular basis to include frequency and staff responsible, how risks will be minimised or removed, the level of supervision for off-site visits);</w:t>
      </w:r>
    </w:p>
    <w:p w14:paraId="0647727B" w14:textId="77777777" w:rsidR="00D3287F" w:rsidRPr="00D3287F" w:rsidRDefault="00D3287F" w:rsidP="00AA55C9">
      <w:pPr>
        <w:pStyle w:val="NoSpacing"/>
      </w:pPr>
    </w:p>
    <w:p w14:paraId="60B3BEE4" w14:textId="2E8E5331" w:rsidR="00623061" w:rsidRDefault="00623061" w:rsidP="00AA55C9">
      <w:pPr>
        <w:pStyle w:val="Heading3"/>
      </w:pPr>
      <w:r w:rsidRPr="00623061">
        <w:t>Breaks and supervision</w:t>
      </w:r>
      <w:r w:rsidR="00057FDC" w:rsidRPr="00057FDC">
        <w:t xml:space="preserve"> </w:t>
      </w:r>
      <w:r w:rsidR="00057FDC">
        <w:t>(including out of school care staffing ratios);</w:t>
      </w:r>
      <w:r w:rsidRPr="00623061">
        <w:t xml:space="preserve"> and</w:t>
      </w:r>
    </w:p>
    <w:p w14:paraId="7DFF866D" w14:textId="77777777" w:rsidR="00D3287F" w:rsidRPr="00D3287F" w:rsidRDefault="00D3287F" w:rsidP="00AA55C9">
      <w:pPr>
        <w:pStyle w:val="NoSpacing"/>
      </w:pPr>
    </w:p>
    <w:p w14:paraId="3538C481" w14:textId="078B017E" w:rsidR="00623061" w:rsidRDefault="00623061" w:rsidP="00AA55C9">
      <w:pPr>
        <w:pStyle w:val="Heading3"/>
      </w:pPr>
      <w:r w:rsidRPr="00623061">
        <w:t>Educational visits (see separate policy).</w:t>
      </w:r>
    </w:p>
    <w:p w14:paraId="25BF1B94" w14:textId="77777777" w:rsidR="00623061" w:rsidRPr="00623061" w:rsidRDefault="00623061" w:rsidP="00623061">
      <w:pPr>
        <w:pStyle w:val="NoSpacing"/>
        <w:rPr>
          <w:rFonts w:eastAsia="Malgun Gothic"/>
        </w:rPr>
      </w:pPr>
    </w:p>
    <w:p w14:paraId="7C3EE9EA" w14:textId="77777777" w:rsidR="00623061" w:rsidRDefault="00623061" w:rsidP="00623061">
      <w:pPr>
        <w:pStyle w:val="Heading2"/>
      </w:pPr>
      <w:r w:rsidRPr="008C6C82">
        <w:rPr>
          <w:color w:val="000000" w:themeColor="text1"/>
        </w:rPr>
        <w:t xml:space="preserve">All staff receive regular induction and refresher training in both general risk assessments and </w:t>
      </w:r>
      <w:r w:rsidRPr="008C6C82">
        <w:t xml:space="preserve">in those </w:t>
      </w:r>
      <w:proofErr w:type="gramStart"/>
      <w:r w:rsidRPr="008C6C82">
        <w:t>risk</w:t>
      </w:r>
      <w:proofErr w:type="gramEnd"/>
      <w:r w:rsidRPr="008C6C82">
        <w:t xml:space="preserve"> assessments tailored to their specific areas. Induction and refresher training also </w:t>
      </w:r>
      <w:proofErr w:type="gramStart"/>
      <w:r w:rsidRPr="008C6C82">
        <w:t>covers</w:t>
      </w:r>
      <w:proofErr w:type="gramEnd"/>
      <w:r w:rsidRPr="008C6C82">
        <w:t xml:space="preserve"> safe working practices, communication, health and safety notices and protective equipment. </w:t>
      </w:r>
    </w:p>
    <w:p w14:paraId="72759EA4" w14:textId="77777777" w:rsidR="00623061" w:rsidRDefault="00623061" w:rsidP="00623061">
      <w:pPr>
        <w:pStyle w:val="Heading2"/>
        <w:numPr>
          <w:ilvl w:val="0"/>
          <w:numId w:val="0"/>
        </w:numPr>
        <w:ind w:left="720"/>
      </w:pPr>
    </w:p>
    <w:p w14:paraId="540B90D9" w14:textId="14A0A8BA" w:rsidR="00623061" w:rsidRPr="00623061" w:rsidRDefault="00623061" w:rsidP="00623061">
      <w:pPr>
        <w:pStyle w:val="Heading2"/>
      </w:pPr>
      <w:r w:rsidRPr="00623061">
        <w:t xml:space="preserve">We aim to provide a positive, supportive and secure environment in which children and young people can learn and </w:t>
      </w:r>
      <w:proofErr w:type="gramStart"/>
      <w:r w:rsidRPr="00623061">
        <w:t>develop, and</w:t>
      </w:r>
      <w:proofErr w:type="gramEnd"/>
      <w:r w:rsidRPr="00623061">
        <w:t xml:space="preserve"> become equipped with the skills to enable them to protect their own welfare and that of others. Further information in relation to this is captured in our Safeguarding Policy.  </w:t>
      </w:r>
    </w:p>
    <w:p w14:paraId="19A2A625" w14:textId="240A4F43" w:rsidR="00623061" w:rsidRDefault="00623061">
      <w:pPr>
        <w:jc w:val="left"/>
      </w:pPr>
    </w:p>
    <w:p w14:paraId="5F9B4F42" w14:textId="62527F98" w:rsidR="004939C6" w:rsidRPr="00CF4CB5" w:rsidRDefault="004939C6" w:rsidP="004939C6">
      <w:pPr>
        <w:pStyle w:val="Heading1"/>
      </w:pPr>
      <w:r>
        <w:t>First Aid and Medical I</w:t>
      </w:r>
      <w:r w:rsidRPr="00CF4CB5">
        <w:t>n</w:t>
      </w:r>
      <w:r>
        <w:t>cidents</w:t>
      </w:r>
      <w:r w:rsidRPr="00CF4CB5">
        <w:t xml:space="preserve"> </w:t>
      </w:r>
    </w:p>
    <w:p w14:paraId="643C7995" w14:textId="13D5324E" w:rsidR="004939C6" w:rsidRDefault="004939C6" w:rsidP="00AA55C9">
      <w:pPr>
        <w:pStyle w:val="Heading3"/>
      </w:pPr>
      <w:r>
        <w:t>T</w:t>
      </w:r>
      <w:r w:rsidRPr="008C6C82">
        <w:t xml:space="preserve">he school has risk assessments for first aid. Accident forms are </w:t>
      </w:r>
      <w:r w:rsidR="00057FDC">
        <w:t xml:space="preserve">completed and inputted into medical tracker. </w:t>
      </w:r>
      <w:proofErr w:type="spellStart"/>
      <w:r w:rsidR="00057FDC">
        <w:t>tHe</w:t>
      </w:r>
      <w:proofErr w:type="spellEnd"/>
      <w:r w:rsidR="00057FDC">
        <w:t xml:space="preserve"> Head of School and/or Headteacher are kept informed of accidents as appropriate and </w:t>
      </w:r>
      <w:proofErr w:type="gramStart"/>
      <w:r w:rsidR="00057FDC">
        <w:t>are able to</w:t>
      </w:r>
      <w:proofErr w:type="gramEnd"/>
      <w:r w:rsidR="00057FDC">
        <w:t xml:space="preserve"> access and analyse accident data from medical tracker.</w:t>
      </w:r>
    </w:p>
    <w:p w14:paraId="72FF09EC" w14:textId="77777777" w:rsidR="00D3287F" w:rsidRPr="00D3287F" w:rsidRDefault="00D3287F" w:rsidP="00AA55C9">
      <w:pPr>
        <w:pStyle w:val="NoSpacing"/>
        <w:rPr>
          <w:rFonts w:eastAsia="Malgun Gothic"/>
        </w:rPr>
      </w:pPr>
    </w:p>
    <w:p w14:paraId="7F112477" w14:textId="281FE652" w:rsidR="004939C6" w:rsidRDefault="004939C6" w:rsidP="00AA55C9">
      <w:pPr>
        <w:pStyle w:val="Heading3"/>
      </w:pPr>
      <w:r w:rsidRPr="00CF4CB5">
        <w:lastRenderedPageBreak/>
        <w:t xml:space="preserve">The school has a separate policy which explains the procedures that we would follow in the event of a medical emergency. </w:t>
      </w:r>
    </w:p>
    <w:p w14:paraId="3D2CA629" w14:textId="77777777" w:rsidR="00D3287F" w:rsidRPr="00D3287F" w:rsidRDefault="00D3287F" w:rsidP="00AA55C9">
      <w:pPr>
        <w:pStyle w:val="NoSpacing"/>
        <w:rPr>
          <w:rFonts w:eastAsia="Malgun Gothic"/>
        </w:rPr>
      </w:pPr>
    </w:p>
    <w:p w14:paraId="4FB0D32E" w14:textId="0034DFA8" w:rsidR="004939C6" w:rsidRDefault="004939C6" w:rsidP="00AA55C9">
      <w:pPr>
        <w:pStyle w:val="Heading3"/>
      </w:pPr>
      <w:r w:rsidRPr="00CF4CB5">
        <w:t xml:space="preserve">We ensure that children do not have unsupervised access to potentially dangerous areas such as science laboratories, the art room, etc. Doors to these areas </w:t>
      </w:r>
      <w:proofErr w:type="gramStart"/>
      <w:r w:rsidRPr="00CF4CB5">
        <w:t>are kept locked at all times</w:t>
      </w:r>
      <w:proofErr w:type="gramEnd"/>
      <w:r w:rsidRPr="00CF4CB5">
        <w:t xml:space="preserve"> when not in use. All flammables are kept securely locked. Pupils do not have unsupervised access to the grounds, maintenance, catering and caretaking areas of the school.</w:t>
      </w:r>
    </w:p>
    <w:p w14:paraId="74EF3D72" w14:textId="77777777" w:rsidR="00D3287F" w:rsidRPr="00D3287F" w:rsidRDefault="00D3287F" w:rsidP="00AA55C9">
      <w:pPr>
        <w:pStyle w:val="NoSpacing"/>
        <w:rPr>
          <w:rFonts w:eastAsia="Malgun Gothic"/>
        </w:rPr>
      </w:pPr>
    </w:p>
    <w:p w14:paraId="4DA25F8E" w14:textId="01F2502A" w:rsidR="004939C6" w:rsidRDefault="004939C6" w:rsidP="004939C6">
      <w:pPr>
        <w:pStyle w:val="Heading2"/>
      </w:pPr>
      <w:r w:rsidRPr="004939C6">
        <w:rPr>
          <w:b/>
        </w:rPr>
        <w:t xml:space="preserve">Our safeguarding: </w:t>
      </w:r>
      <w:r w:rsidRPr="008C6C82">
        <w:t>child protection policies and training for all staff form the core of our child protection risk management. Safer recruitment policies and procedures ensure that the school is not exposed to the risk of employing staff who are unsuitable, barred or prohibited from working with children, and are not allowed to work in the UK.</w:t>
      </w:r>
    </w:p>
    <w:p w14:paraId="415ED537" w14:textId="77777777" w:rsidR="004939C6" w:rsidRPr="004939C6" w:rsidRDefault="004939C6" w:rsidP="004939C6">
      <w:pPr>
        <w:pStyle w:val="NoSpacing"/>
        <w:rPr>
          <w:rFonts w:eastAsia="Malgun Gothic"/>
        </w:rPr>
      </w:pPr>
    </w:p>
    <w:p w14:paraId="6938AE3D" w14:textId="52D3BA88" w:rsidR="004939C6" w:rsidRDefault="004939C6" w:rsidP="004939C6">
      <w:pPr>
        <w:pStyle w:val="Heading2"/>
      </w:pPr>
      <w:r w:rsidRPr="004939C6">
        <w:rPr>
          <w:b/>
        </w:rPr>
        <w:t>PSHE lessons</w:t>
      </w:r>
      <w:r w:rsidRPr="004939C6">
        <w:t xml:space="preserve">: </w:t>
      </w:r>
      <w:r w:rsidRPr="008C6C82">
        <w:t xml:space="preserve">will be used alongside form periods and subject specific lessons to teach pupils to understand and manage risks (including those associated with e-safety, substance misuse, sexual exploitation, terrorism, domestic violence, female genital mutilation, gang activity, water, fire, road and railway, resist pressure, make safer choices and seek help if necessary.)  </w:t>
      </w:r>
    </w:p>
    <w:p w14:paraId="1FA7DC88" w14:textId="77777777" w:rsidR="004939C6" w:rsidRPr="004939C6" w:rsidRDefault="004939C6" w:rsidP="004939C6">
      <w:pPr>
        <w:pStyle w:val="NoSpacing"/>
        <w:rPr>
          <w:rFonts w:eastAsia="Malgun Gothic"/>
        </w:rPr>
      </w:pPr>
    </w:p>
    <w:p w14:paraId="05C4212E" w14:textId="53550C6B" w:rsidR="004939C6" w:rsidRPr="004939C6" w:rsidRDefault="004939C6" w:rsidP="004939C6">
      <w:pPr>
        <w:pStyle w:val="Heading2"/>
      </w:pPr>
      <w:r w:rsidRPr="004939C6">
        <w:rPr>
          <w:b/>
        </w:rPr>
        <w:t>Catering and cleaning</w:t>
      </w:r>
      <w:r w:rsidRPr="004939C6">
        <w:t>: risk assessments and training are required for every item of catering and cleaning equipment, as well as for manual handling, slips and trips and the control of substances hazardous to health (COSHH). Induction and refresher training covers risk assessments, protective equipment and safety notices.</w:t>
      </w:r>
    </w:p>
    <w:p w14:paraId="00CA411D" w14:textId="77777777" w:rsidR="004939C6" w:rsidRPr="004939C6" w:rsidRDefault="004939C6" w:rsidP="004939C6">
      <w:pPr>
        <w:pStyle w:val="NoSpacing"/>
        <w:rPr>
          <w:rFonts w:eastAsia="Malgun Gothic"/>
        </w:rPr>
      </w:pPr>
    </w:p>
    <w:p w14:paraId="50399809" w14:textId="36796B07" w:rsidR="004939C6" w:rsidRPr="004939C6" w:rsidRDefault="004939C6" w:rsidP="004939C6">
      <w:pPr>
        <w:pStyle w:val="Heading2"/>
      </w:pPr>
      <w:r w:rsidRPr="004939C6">
        <w:rPr>
          <w:b/>
        </w:rPr>
        <w:t>Security</w:t>
      </w:r>
      <w:r w:rsidRPr="004939C6">
        <w:t xml:space="preserve">: risk assessments cover all areas of the school. </w:t>
      </w:r>
    </w:p>
    <w:p w14:paraId="6B0BC155" w14:textId="77777777" w:rsidR="004939C6" w:rsidRPr="004939C6" w:rsidRDefault="004939C6" w:rsidP="004939C6">
      <w:pPr>
        <w:pStyle w:val="NoSpacing"/>
        <w:rPr>
          <w:rFonts w:eastAsia="Malgun Gothic"/>
        </w:rPr>
      </w:pPr>
    </w:p>
    <w:p w14:paraId="4C8A5F32" w14:textId="473549AB" w:rsidR="004939C6" w:rsidRPr="004939C6" w:rsidRDefault="004939C6" w:rsidP="004939C6">
      <w:pPr>
        <w:pStyle w:val="Heading2"/>
      </w:pPr>
      <w:r w:rsidRPr="004939C6">
        <w:rPr>
          <w:b/>
        </w:rPr>
        <w:t>Maintenance</w:t>
      </w:r>
      <w:r w:rsidRPr="004939C6">
        <w:t>: risk assessments and training arrangements are in place for work equipment as required by the school site and maintenance team, as well as for manual handling, working at height, asbestos, control of contractors on site, electricity, gas, water and the control of substances hazardous to health (COSHH).</w:t>
      </w:r>
    </w:p>
    <w:p w14:paraId="62580002" w14:textId="77777777" w:rsidR="004939C6" w:rsidRPr="004939C6" w:rsidRDefault="004939C6" w:rsidP="004939C6">
      <w:pPr>
        <w:pStyle w:val="NoSpacing"/>
        <w:rPr>
          <w:rFonts w:eastAsia="Malgun Gothic"/>
        </w:rPr>
      </w:pPr>
    </w:p>
    <w:p w14:paraId="7372D767" w14:textId="0EB17683" w:rsidR="004939C6" w:rsidRPr="004939C6" w:rsidRDefault="004939C6" w:rsidP="004939C6">
      <w:pPr>
        <w:pStyle w:val="Heading2"/>
      </w:pPr>
      <w:r w:rsidRPr="004939C6">
        <w:rPr>
          <w:b/>
        </w:rPr>
        <w:t>Working practices</w:t>
      </w:r>
      <w:r w:rsidRPr="004939C6">
        <w:t xml:space="preserve">: risk assessments are required for working at height and lone working.  </w:t>
      </w:r>
    </w:p>
    <w:p w14:paraId="491C3E74" w14:textId="77777777" w:rsidR="004939C6" w:rsidRPr="004939C6" w:rsidRDefault="004939C6" w:rsidP="004939C6">
      <w:pPr>
        <w:pStyle w:val="NoSpacing"/>
        <w:rPr>
          <w:rFonts w:eastAsia="Malgun Gothic"/>
        </w:rPr>
      </w:pPr>
    </w:p>
    <w:p w14:paraId="5AF68232" w14:textId="6505333A" w:rsidR="004939C6" w:rsidRPr="008C6C82" w:rsidRDefault="004939C6" w:rsidP="004939C6">
      <w:pPr>
        <w:pStyle w:val="Heading2"/>
        <w:rPr>
          <w:rFonts w:eastAsia="Malgun Gothic"/>
        </w:rPr>
      </w:pPr>
      <w:r w:rsidRPr="004939C6">
        <w:rPr>
          <w:b/>
        </w:rPr>
        <w:t xml:space="preserve">Office staff: </w:t>
      </w:r>
      <w:r w:rsidRPr="004939C6">
        <w:t xml:space="preserve">risk assessments are required for the display screen equipment and cables used by those </w:t>
      </w:r>
      <w:r w:rsidRPr="008C6C82">
        <w:t xml:space="preserve">staff (primarily office-based) who spend </w:t>
      </w:r>
      <w:proofErr w:type="gramStart"/>
      <w:r w:rsidRPr="008C6C82">
        <w:t>the majority of</w:t>
      </w:r>
      <w:proofErr w:type="gramEnd"/>
      <w:r w:rsidRPr="008C6C82">
        <w:t xml:space="preserve"> their working day in front of a screen.</w:t>
      </w:r>
    </w:p>
    <w:p w14:paraId="23F221C1" w14:textId="77777777" w:rsidR="004939C6" w:rsidRDefault="004939C6">
      <w:pPr>
        <w:jc w:val="left"/>
      </w:pPr>
    </w:p>
    <w:p w14:paraId="1B05B6AB" w14:textId="77777777" w:rsidR="004939C6" w:rsidRDefault="004939C6" w:rsidP="004939C6">
      <w:pPr>
        <w:pStyle w:val="Heading1"/>
      </w:pPr>
      <w:r w:rsidRPr="003253CE">
        <w:t>Activities</w:t>
      </w:r>
    </w:p>
    <w:p w14:paraId="511C4A65" w14:textId="6442468A" w:rsidR="004939C6" w:rsidRDefault="004939C6" w:rsidP="004939C6">
      <w:pPr>
        <w:pStyle w:val="Heading2"/>
      </w:pPr>
      <w:r w:rsidRPr="008C6C82">
        <w:t xml:space="preserve">We carry out a range of activities and all hazards are </w:t>
      </w:r>
      <w:proofErr w:type="gramStart"/>
      <w:r w:rsidRPr="008C6C82">
        <w:t>assessed</w:t>
      </w:r>
      <w:proofErr w:type="gramEnd"/>
      <w:r w:rsidRPr="008C6C82">
        <w:t xml:space="preserve"> and suitable control measures are put in place. Children and young people are always given a safety briefing before participating in risky </w:t>
      </w:r>
      <w:proofErr w:type="gramStart"/>
      <w:r w:rsidRPr="008C6C82">
        <w:t>activities, and</w:t>
      </w:r>
      <w:proofErr w:type="gramEnd"/>
      <w:r w:rsidRPr="008C6C82">
        <w:t xml:space="preserve"> are expected to wear appropriate protective equipment (where required) and to follow instructions.</w:t>
      </w:r>
    </w:p>
    <w:p w14:paraId="5D98F8F8" w14:textId="77777777" w:rsidR="004939C6" w:rsidRPr="004939C6" w:rsidRDefault="004939C6" w:rsidP="004939C6">
      <w:pPr>
        <w:pStyle w:val="NoSpacing"/>
      </w:pPr>
    </w:p>
    <w:p w14:paraId="167C1994" w14:textId="4BA53A46" w:rsidR="004939C6" w:rsidRPr="004939C6" w:rsidRDefault="004939C6" w:rsidP="004939C6">
      <w:pPr>
        <w:pStyle w:val="Heading1"/>
        <w:rPr>
          <w:rFonts w:eastAsia="Malgun Gothic"/>
        </w:rPr>
      </w:pPr>
      <w:r>
        <w:rPr>
          <w:color w:val="0070C0"/>
        </w:rPr>
        <w:t>Specialist Areas</w:t>
      </w:r>
    </w:p>
    <w:p w14:paraId="508D6FC6" w14:textId="535736C1" w:rsidR="004939C6" w:rsidRDefault="004939C6" w:rsidP="004939C6">
      <w:pPr>
        <w:pStyle w:val="Heading2"/>
      </w:pPr>
      <w:r>
        <w:t>T</w:t>
      </w:r>
      <w:r w:rsidRPr="008C6C82">
        <w:t xml:space="preserve">he school Health and Safety Coordinator arranges for specialists to carry out the following risk assessments in liaison with the </w:t>
      </w:r>
      <w:proofErr w:type="spellStart"/>
      <w:r w:rsidRPr="008C6C82">
        <w:t>Cognita</w:t>
      </w:r>
      <w:proofErr w:type="spellEnd"/>
      <w:r w:rsidRPr="008C6C82">
        <w:t xml:space="preserve"> Operations Department and</w:t>
      </w:r>
      <w:r w:rsidRPr="008C6C82">
        <w:rPr>
          <w:color w:val="FF0000"/>
        </w:rPr>
        <w:t xml:space="preserve"> </w:t>
      </w:r>
      <w:proofErr w:type="spellStart"/>
      <w:r w:rsidRPr="008C6C82">
        <w:t>Cognita’s</w:t>
      </w:r>
      <w:proofErr w:type="spellEnd"/>
      <w:r w:rsidRPr="008C6C82">
        <w:rPr>
          <w:color w:val="FF0000"/>
        </w:rPr>
        <w:t xml:space="preserve"> </w:t>
      </w:r>
      <w:r w:rsidRPr="008C6C82">
        <w:t>Health and Safety Manager:</w:t>
      </w:r>
    </w:p>
    <w:p w14:paraId="272978D4" w14:textId="77777777" w:rsidR="00D3287F" w:rsidRPr="00D3287F" w:rsidRDefault="00D3287F" w:rsidP="00AA55C9">
      <w:pPr>
        <w:pStyle w:val="NoSpacing"/>
        <w:rPr>
          <w:rFonts w:eastAsia="Malgun Gothic"/>
        </w:rPr>
      </w:pPr>
    </w:p>
    <w:p w14:paraId="32D6D1CA" w14:textId="584FCD9A" w:rsidR="004939C6" w:rsidRDefault="004939C6" w:rsidP="00AA55C9">
      <w:pPr>
        <w:pStyle w:val="Heading3"/>
      </w:pPr>
      <w:r w:rsidRPr="008C6C82">
        <w:t>Fire safety;</w:t>
      </w:r>
    </w:p>
    <w:p w14:paraId="4ED4EC76" w14:textId="77777777" w:rsidR="00D3287F" w:rsidRPr="00D3287F" w:rsidRDefault="00D3287F" w:rsidP="00AA55C9">
      <w:pPr>
        <w:pStyle w:val="NoSpacing"/>
      </w:pPr>
    </w:p>
    <w:p w14:paraId="6DF97246" w14:textId="7AA30F3D" w:rsidR="004939C6" w:rsidRDefault="004939C6" w:rsidP="00AA55C9">
      <w:pPr>
        <w:pStyle w:val="Heading3"/>
      </w:pPr>
      <w:r w:rsidRPr="004939C6">
        <w:t>Asbestos; and</w:t>
      </w:r>
    </w:p>
    <w:p w14:paraId="59803977" w14:textId="77777777" w:rsidR="00D3287F" w:rsidRPr="00D3287F" w:rsidRDefault="00D3287F" w:rsidP="00AA55C9">
      <w:pPr>
        <w:pStyle w:val="NoSpacing"/>
      </w:pPr>
    </w:p>
    <w:p w14:paraId="074A86A6" w14:textId="54A69EB1" w:rsidR="004939C6" w:rsidRPr="004939C6" w:rsidRDefault="004939C6" w:rsidP="00AA55C9">
      <w:pPr>
        <w:pStyle w:val="Heading3"/>
      </w:pPr>
      <w:r w:rsidRPr="004939C6">
        <w:t>Legionella.</w:t>
      </w:r>
    </w:p>
    <w:p w14:paraId="49F5C04C" w14:textId="77777777" w:rsidR="004939C6" w:rsidRDefault="004939C6">
      <w:pPr>
        <w:jc w:val="left"/>
      </w:pPr>
    </w:p>
    <w:p w14:paraId="66F3A8A8" w14:textId="5E25EE9E" w:rsidR="004939C6" w:rsidRDefault="004939C6" w:rsidP="004939C6">
      <w:pPr>
        <w:pStyle w:val="Heading1"/>
      </w:pPr>
      <w:r>
        <w:lastRenderedPageBreak/>
        <w:t>Child P</w:t>
      </w:r>
      <w:r w:rsidRPr="008C6C82">
        <w:t xml:space="preserve">rotection </w:t>
      </w:r>
    </w:p>
    <w:p w14:paraId="73DF0CBB" w14:textId="655836FF" w:rsidR="004939C6" w:rsidRDefault="004939C6" w:rsidP="004939C6">
      <w:pPr>
        <w:pStyle w:val="Heading2"/>
      </w:pPr>
      <w:r>
        <w:t>W</w:t>
      </w:r>
      <w:r w:rsidRPr="008C6C82">
        <w:t>here a concern about a child’s welfare is identified, the risks will be assessed, appropriate action will be taken to reduce those risks, and this will be recorded and then regularly monitored and reviewed. The format of risk assessment may vary according to need but our approach will always be systematic and thorough. All staff who teach or support a child at risk will be kept well-informed of the strategies, approaches and risk assessment. Individual assessments will be kept on child files and will follow a standard process as follows:</w:t>
      </w:r>
    </w:p>
    <w:p w14:paraId="7D0D1462" w14:textId="77777777" w:rsidR="00D3287F" w:rsidRPr="00D3287F" w:rsidRDefault="00D3287F" w:rsidP="00AA55C9">
      <w:pPr>
        <w:pStyle w:val="NoSpacing"/>
        <w:rPr>
          <w:rFonts w:eastAsia="Malgun Gothic"/>
        </w:rPr>
      </w:pPr>
    </w:p>
    <w:p w14:paraId="79D3FCB8" w14:textId="546FA2CD" w:rsidR="00D3287F" w:rsidRPr="00CF6D15" w:rsidRDefault="004939C6" w:rsidP="00AA55C9">
      <w:pPr>
        <w:pStyle w:val="Heading3"/>
        <w:numPr>
          <w:ilvl w:val="0"/>
          <w:numId w:val="34"/>
        </w:numPr>
        <w:ind w:left="1077" w:hanging="357"/>
      </w:pPr>
      <w:r w:rsidRPr="008C6C82">
        <w:t>What is the welfare issue?</w:t>
      </w:r>
    </w:p>
    <w:p w14:paraId="54930844" w14:textId="3CFD3E7E" w:rsidR="00D3287F" w:rsidRPr="00CF6D15" w:rsidRDefault="004939C6" w:rsidP="00AA55C9">
      <w:pPr>
        <w:pStyle w:val="Heading3"/>
        <w:numPr>
          <w:ilvl w:val="0"/>
          <w:numId w:val="34"/>
        </w:numPr>
        <w:ind w:left="1077" w:hanging="357"/>
      </w:pPr>
      <w:r w:rsidRPr="004939C6">
        <w:t>Who might be harmed?</w:t>
      </w:r>
    </w:p>
    <w:p w14:paraId="27B1086C" w14:textId="38A966BF" w:rsidR="00D3287F" w:rsidRPr="00CF6D15" w:rsidRDefault="004939C6" w:rsidP="00AA55C9">
      <w:pPr>
        <w:pStyle w:val="Heading3"/>
        <w:numPr>
          <w:ilvl w:val="0"/>
          <w:numId w:val="34"/>
        </w:numPr>
        <w:ind w:left="1077" w:hanging="357"/>
      </w:pPr>
      <w:r w:rsidRPr="004939C6">
        <w:t>What measures are already in place?</w:t>
      </w:r>
    </w:p>
    <w:p w14:paraId="4D9CEA67" w14:textId="6088B55A" w:rsidR="00D3287F" w:rsidRPr="00CF6D15" w:rsidRDefault="004939C6" w:rsidP="00AA55C9">
      <w:pPr>
        <w:pStyle w:val="Heading3"/>
        <w:numPr>
          <w:ilvl w:val="0"/>
          <w:numId w:val="34"/>
        </w:numPr>
        <w:ind w:left="1077" w:hanging="357"/>
      </w:pPr>
      <w:r w:rsidRPr="004939C6">
        <w:t>What further action is necessary?</w:t>
      </w:r>
    </w:p>
    <w:p w14:paraId="17D96316" w14:textId="068FDE1C" w:rsidR="00D3287F" w:rsidRPr="00CF6D15" w:rsidRDefault="004939C6" w:rsidP="00AA55C9">
      <w:pPr>
        <w:pStyle w:val="Heading3"/>
        <w:numPr>
          <w:ilvl w:val="0"/>
          <w:numId w:val="34"/>
        </w:numPr>
        <w:ind w:left="1077" w:hanging="357"/>
      </w:pPr>
      <w:r w:rsidRPr="004939C6">
        <w:t>By whom?</w:t>
      </w:r>
    </w:p>
    <w:p w14:paraId="16CED3A9" w14:textId="080DAC69" w:rsidR="004939C6" w:rsidRDefault="004939C6" w:rsidP="00AA55C9">
      <w:pPr>
        <w:pStyle w:val="Heading3"/>
        <w:numPr>
          <w:ilvl w:val="0"/>
          <w:numId w:val="34"/>
        </w:numPr>
        <w:ind w:left="1077" w:hanging="357"/>
      </w:pPr>
      <w:r w:rsidRPr="004939C6">
        <w:t>By when?</w:t>
      </w:r>
    </w:p>
    <w:p w14:paraId="09BB0B87" w14:textId="77777777" w:rsidR="00D3287F" w:rsidRDefault="00D3287F" w:rsidP="00AA55C9">
      <w:pPr>
        <w:pStyle w:val="TempBodyText"/>
        <w:spacing w:after="0" w:line="240" w:lineRule="auto"/>
        <w:ind w:left="0" w:firstLine="0"/>
        <w:contextualSpacing w:val="0"/>
        <w:rPr>
          <w:rFonts w:asciiTheme="minorHAnsi" w:hAnsiTheme="minorHAnsi"/>
        </w:rPr>
      </w:pPr>
    </w:p>
    <w:p w14:paraId="313BC6F7" w14:textId="65C84A7E" w:rsidR="004939C6" w:rsidRDefault="004939C6" w:rsidP="00AA55C9">
      <w:pPr>
        <w:pStyle w:val="Heading3"/>
      </w:pPr>
      <w:r w:rsidRPr="004939C6">
        <w:t>Progress report (monitoring and review) - Achieved/Not Achieved</w:t>
      </w:r>
    </w:p>
    <w:p w14:paraId="22D0E3E9" w14:textId="77777777" w:rsidR="004939C6" w:rsidRPr="004939C6" w:rsidRDefault="004939C6" w:rsidP="004939C6">
      <w:pPr>
        <w:pStyle w:val="TempBodyText"/>
        <w:spacing w:after="0" w:line="240" w:lineRule="auto"/>
        <w:ind w:left="1077" w:firstLine="0"/>
        <w:contextualSpacing w:val="0"/>
        <w:rPr>
          <w:rFonts w:asciiTheme="minorHAnsi" w:hAnsiTheme="minorHAnsi"/>
        </w:rPr>
      </w:pPr>
    </w:p>
    <w:p w14:paraId="5D4CD0D0" w14:textId="68434E47" w:rsidR="004939C6" w:rsidRDefault="004939C6" w:rsidP="004939C6">
      <w:pPr>
        <w:pStyle w:val="Heading2"/>
      </w:pPr>
      <w:r w:rsidRPr="008C6C82">
        <w:t xml:space="preserve">Full details of our approach towards safeguarding and protecting children in accordance with </w:t>
      </w:r>
      <w:r w:rsidRPr="008C6C82">
        <w:rPr>
          <w:color w:val="000000" w:themeColor="text1"/>
        </w:rPr>
        <w:t xml:space="preserve">Keeping Children Safe in Education (as amended) are provided in our separate policy and </w:t>
      </w:r>
      <w:r w:rsidRPr="008C6C82">
        <w:t>procedure, which is in keeping with LSCB policy. In addition, we have an anti-bullying and a written behaviour policy where further details of our approach can be seen in more detail. Any children and young people who display sexually harmful or problematic behaviour will have a risk assessment management plan in keeping with LSCB requirements, subject to regular review with the relevant external support agencies.</w:t>
      </w:r>
    </w:p>
    <w:p w14:paraId="4A610CA8" w14:textId="77777777" w:rsidR="004939C6" w:rsidRDefault="004939C6" w:rsidP="004939C6">
      <w:pPr>
        <w:pStyle w:val="TempBodyText"/>
        <w:spacing w:after="40"/>
        <w:ind w:left="425" w:hanging="567"/>
        <w:contextualSpacing w:val="0"/>
        <w:rPr>
          <w:rFonts w:asciiTheme="minorHAnsi" w:hAnsiTheme="minorHAnsi"/>
          <w:b/>
          <w:color w:val="0070C0"/>
        </w:rPr>
      </w:pPr>
    </w:p>
    <w:p w14:paraId="571F9D81" w14:textId="77777777" w:rsidR="004939C6" w:rsidRPr="00822EDC" w:rsidRDefault="004939C6" w:rsidP="004939C6">
      <w:pPr>
        <w:pStyle w:val="Heading1"/>
      </w:pPr>
      <w:r w:rsidRPr="003253CE">
        <w:t>Responsibilities</w:t>
      </w:r>
    </w:p>
    <w:p w14:paraId="72EA347A" w14:textId="082F546A" w:rsidR="004939C6" w:rsidRDefault="004939C6" w:rsidP="004939C6">
      <w:pPr>
        <w:pStyle w:val="Heading2"/>
      </w:pPr>
      <w:r w:rsidRPr="008C6C82">
        <w:t xml:space="preserve">As proprietor, </w:t>
      </w:r>
      <w:proofErr w:type="spellStart"/>
      <w:r w:rsidRPr="008C6C82">
        <w:t>Cognita</w:t>
      </w:r>
      <w:proofErr w:type="spellEnd"/>
      <w:r w:rsidRPr="008C6C82">
        <w:t xml:space="preserve"> Schools Limited has overall responsibility for (a) safeguarding and promoting pupil welfare and well-being at the school; and (b) ensuring the health and safety of staff, pupils, parents and visitors.  </w:t>
      </w:r>
    </w:p>
    <w:p w14:paraId="4004C1F4" w14:textId="77777777" w:rsidR="004939C6" w:rsidRPr="004939C6" w:rsidRDefault="004939C6" w:rsidP="004939C6">
      <w:pPr>
        <w:pStyle w:val="NoSpacing"/>
      </w:pPr>
    </w:p>
    <w:p w14:paraId="1DEC2BA0" w14:textId="11919079" w:rsidR="004939C6" w:rsidRDefault="004939C6" w:rsidP="004939C6">
      <w:pPr>
        <w:pStyle w:val="Heading2"/>
      </w:pPr>
      <w:r w:rsidRPr="008C6C82">
        <w:t xml:space="preserve">At an operational level, the Head will: </w:t>
      </w:r>
    </w:p>
    <w:p w14:paraId="67B5E6EC" w14:textId="77777777" w:rsidR="00D3287F" w:rsidRPr="00AA55C9" w:rsidRDefault="00D3287F" w:rsidP="00AA55C9">
      <w:pPr>
        <w:pStyle w:val="NoSpacing"/>
      </w:pPr>
    </w:p>
    <w:p w14:paraId="342C700C" w14:textId="3C5210E5" w:rsidR="004939C6" w:rsidRDefault="004939C6" w:rsidP="00AA55C9">
      <w:pPr>
        <w:pStyle w:val="Heading3"/>
      </w:pPr>
      <w:r>
        <w:t>E</w:t>
      </w:r>
      <w:r w:rsidRPr="008C6C82">
        <w:t xml:space="preserve">nsure that all staff are aware of, and adhere to, the school's policies and procedures on pupil health, safety and welfare; </w:t>
      </w:r>
    </w:p>
    <w:p w14:paraId="4868E45E" w14:textId="77777777" w:rsidR="00D3287F" w:rsidRDefault="00D3287F" w:rsidP="00AA55C9">
      <w:pPr>
        <w:pStyle w:val="TempBodyText"/>
        <w:spacing w:after="0" w:line="240" w:lineRule="auto"/>
        <w:ind w:left="142" w:firstLine="0"/>
        <w:contextualSpacing w:val="0"/>
        <w:rPr>
          <w:rFonts w:asciiTheme="minorHAnsi" w:hAnsiTheme="minorHAnsi"/>
        </w:rPr>
      </w:pPr>
    </w:p>
    <w:p w14:paraId="33F1406B" w14:textId="5B15B6DC" w:rsidR="004939C6" w:rsidRDefault="004939C6" w:rsidP="00AA55C9">
      <w:pPr>
        <w:pStyle w:val="Heading3"/>
      </w:pPr>
      <w:r w:rsidRPr="004939C6">
        <w:t xml:space="preserve">Ensure that key staff have clearly established roles and responsibilities; </w:t>
      </w:r>
    </w:p>
    <w:p w14:paraId="7B0DD4EB" w14:textId="77777777" w:rsidR="00D3287F" w:rsidRDefault="00D3287F" w:rsidP="00AA55C9">
      <w:pPr>
        <w:pStyle w:val="TempBodyText"/>
        <w:spacing w:after="0" w:line="240" w:lineRule="auto"/>
        <w:ind w:left="574"/>
        <w:contextualSpacing w:val="0"/>
        <w:rPr>
          <w:rFonts w:asciiTheme="minorHAnsi" w:hAnsiTheme="minorHAnsi"/>
        </w:rPr>
      </w:pPr>
    </w:p>
    <w:p w14:paraId="2FB771AD" w14:textId="5E087275" w:rsidR="004939C6" w:rsidRDefault="004939C6" w:rsidP="00AA55C9">
      <w:pPr>
        <w:pStyle w:val="Heading3"/>
      </w:pPr>
      <w:r w:rsidRPr="004939C6">
        <w:t xml:space="preserve">Ensure that staff are appropriately trained to effectively carry out risk assessments; </w:t>
      </w:r>
    </w:p>
    <w:p w14:paraId="4D75855E" w14:textId="77777777" w:rsidR="00D3287F" w:rsidRPr="00D3287F" w:rsidRDefault="00D3287F" w:rsidP="00AA55C9">
      <w:pPr>
        <w:pStyle w:val="NoSpacing"/>
      </w:pPr>
    </w:p>
    <w:p w14:paraId="2B90C9DF" w14:textId="3535B146" w:rsidR="004939C6" w:rsidRDefault="004939C6" w:rsidP="00AA55C9">
      <w:pPr>
        <w:pStyle w:val="Heading3"/>
      </w:pPr>
      <w:r>
        <w:t>E</w:t>
      </w:r>
      <w:r w:rsidRPr="008C6C82">
        <w:t xml:space="preserve">nsure that where concerns about a pupil's welfare are identified, the risks are appropriately managed; </w:t>
      </w:r>
    </w:p>
    <w:p w14:paraId="308A3CA5" w14:textId="77777777" w:rsidR="00D3287F" w:rsidRPr="00D3287F" w:rsidRDefault="00D3287F" w:rsidP="00AA55C9">
      <w:pPr>
        <w:pStyle w:val="NoSpacing"/>
      </w:pPr>
    </w:p>
    <w:p w14:paraId="6C9D498C" w14:textId="1A47737A" w:rsidR="004939C6" w:rsidRDefault="004939C6" w:rsidP="00AA55C9">
      <w:pPr>
        <w:pStyle w:val="Heading3"/>
      </w:pPr>
      <w:r>
        <w:t>E</w:t>
      </w:r>
      <w:r w:rsidRPr="008C6C82">
        <w:t xml:space="preserve">nsure that staff, pupils, parents and others are consulted, where appropriate, to find practical solutions to welfare issues and health and safety; </w:t>
      </w:r>
      <w:r>
        <w:t>and</w:t>
      </w:r>
    </w:p>
    <w:p w14:paraId="2241B2CF" w14:textId="77777777" w:rsidR="00D3287F" w:rsidRPr="008C6C82" w:rsidRDefault="00D3287F" w:rsidP="00AA55C9">
      <w:pPr>
        <w:pStyle w:val="TempBodyText"/>
        <w:spacing w:after="0" w:line="240" w:lineRule="auto"/>
        <w:ind w:left="0" w:firstLine="0"/>
        <w:contextualSpacing w:val="0"/>
        <w:rPr>
          <w:rFonts w:asciiTheme="minorHAnsi" w:hAnsiTheme="minorHAnsi"/>
        </w:rPr>
      </w:pPr>
    </w:p>
    <w:p w14:paraId="691B8262" w14:textId="439EF0F1" w:rsidR="004939C6" w:rsidRDefault="004939C6" w:rsidP="00AA55C9">
      <w:pPr>
        <w:pStyle w:val="Heading3"/>
      </w:pPr>
      <w:r>
        <w:t>E</w:t>
      </w:r>
      <w:r w:rsidRPr="008C6C82">
        <w:t xml:space="preserve">nsure that standards of pupil welfare and health and safety at the school are regularly monitored, both at an individual level and globally to identify trends and issues of concern and to improve systems to manage these. </w:t>
      </w:r>
    </w:p>
    <w:p w14:paraId="348A34CB" w14:textId="77777777" w:rsidR="004939C6" w:rsidRPr="008C6C82" w:rsidRDefault="004939C6" w:rsidP="004939C6">
      <w:pPr>
        <w:pStyle w:val="TempBodyText"/>
        <w:spacing w:after="0" w:line="240" w:lineRule="auto"/>
        <w:ind w:left="1077" w:firstLine="0"/>
        <w:contextualSpacing w:val="0"/>
        <w:rPr>
          <w:rFonts w:asciiTheme="minorHAnsi" w:hAnsiTheme="minorHAnsi"/>
        </w:rPr>
      </w:pPr>
    </w:p>
    <w:p w14:paraId="5F65D3A0" w14:textId="35181E1F" w:rsidR="004939C6" w:rsidRDefault="004939C6" w:rsidP="004939C6">
      <w:pPr>
        <w:pStyle w:val="Heading2"/>
        <w:rPr>
          <w:rFonts w:eastAsia="Malgun Gothic"/>
          <w:lang w:val="en-AU"/>
        </w:rPr>
      </w:pPr>
      <w:r w:rsidRPr="008C6C82">
        <w:rPr>
          <w:rFonts w:eastAsia="Malgun Gothic"/>
          <w:lang w:val="en-AU"/>
        </w:rPr>
        <w:t>This policy must be read and followed by all members of staff and particularly those with a specialist compliance role, such as Educational Visits Coordinator, Health and Safety Coordinator, Visit Leaders, and Designated Safeguarding Lead(s).</w:t>
      </w:r>
    </w:p>
    <w:p w14:paraId="6955A860" w14:textId="77777777" w:rsidR="004939C6" w:rsidRPr="004939C6" w:rsidRDefault="004939C6" w:rsidP="004939C6">
      <w:pPr>
        <w:pStyle w:val="NoSpacing"/>
        <w:rPr>
          <w:rFonts w:eastAsia="Malgun Gothic"/>
          <w:lang w:val="en-AU"/>
        </w:rPr>
      </w:pPr>
    </w:p>
    <w:p w14:paraId="60747BC9" w14:textId="794864F3" w:rsidR="004939C6" w:rsidRDefault="004939C6" w:rsidP="004939C6">
      <w:pPr>
        <w:pStyle w:val="Heading2"/>
      </w:pPr>
      <w:r w:rsidRPr="008C6C82">
        <w:lastRenderedPageBreak/>
        <w:t>All staff are responsible for taking reasonable care of their own safety, together with that of pupils and visitors.</w:t>
      </w:r>
    </w:p>
    <w:p w14:paraId="4968E4B4" w14:textId="77777777" w:rsidR="004939C6" w:rsidRPr="004939C6" w:rsidRDefault="004939C6" w:rsidP="004939C6">
      <w:pPr>
        <w:pStyle w:val="NoSpacing"/>
        <w:rPr>
          <w:rFonts w:eastAsia="Malgun Gothic"/>
        </w:rPr>
      </w:pPr>
    </w:p>
    <w:p w14:paraId="6FBDC5FA" w14:textId="16294C82" w:rsidR="004939C6" w:rsidRDefault="004939C6" w:rsidP="004939C6">
      <w:pPr>
        <w:pStyle w:val="Heading2"/>
      </w:pPr>
      <w:r w:rsidRPr="008C6C82">
        <w:t>All members of staff are responsible for reporting any facilities risks or defects to the school Business Manager.</w:t>
      </w:r>
    </w:p>
    <w:p w14:paraId="10802044" w14:textId="77777777" w:rsidR="004939C6" w:rsidRPr="004939C6" w:rsidRDefault="004939C6" w:rsidP="004939C6">
      <w:pPr>
        <w:pStyle w:val="NoSpacing"/>
        <w:rPr>
          <w:rFonts w:eastAsia="Malgun Gothic"/>
        </w:rPr>
      </w:pPr>
    </w:p>
    <w:p w14:paraId="5E61009A" w14:textId="5BF70FE2" w:rsidR="004939C6" w:rsidRDefault="004939C6" w:rsidP="004939C6">
      <w:pPr>
        <w:pStyle w:val="Heading2"/>
        <w:rPr>
          <w:rFonts w:eastAsia="Malgun Gothic"/>
        </w:rPr>
      </w:pPr>
      <w:r w:rsidRPr="008C6C82">
        <w:rPr>
          <w:rFonts w:eastAsia="Malgun Gothic"/>
        </w:rPr>
        <w:t xml:space="preserve">The Director of Education is responsible for assessing the major risks to which the </w:t>
      </w:r>
      <w:r w:rsidRPr="008C6C82">
        <w:rPr>
          <w:rFonts w:eastAsia="Malgun Gothic"/>
          <w:color w:val="000000" w:themeColor="text1"/>
        </w:rPr>
        <w:t xml:space="preserve">school is exposed, evaluating and reviewing the systems in place for managing exposure to </w:t>
      </w:r>
      <w:r w:rsidRPr="008C6C82">
        <w:rPr>
          <w:rFonts w:eastAsia="Malgun Gothic"/>
        </w:rPr>
        <w:t>major risks.</w:t>
      </w:r>
    </w:p>
    <w:p w14:paraId="1065896C" w14:textId="77777777" w:rsidR="004939C6" w:rsidRDefault="004939C6">
      <w:pPr>
        <w:jc w:val="left"/>
      </w:pPr>
    </w:p>
    <w:p w14:paraId="2255BE7E" w14:textId="656B9A27" w:rsidR="004939C6" w:rsidRPr="004939C6" w:rsidRDefault="004939C6" w:rsidP="004939C6">
      <w:pPr>
        <w:pStyle w:val="Heading1"/>
        <w:rPr>
          <w:rFonts w:eastAsia="Malgun Gothic"/>
        </w:rPr>
      </w:pPr>
      <w:r>
        <w:t>Review of the Risk A</w:t>
      </w:r>
      <w:r w:rsidRPr="00A14ED1">
        <w:t xml:space="preserve">ssessments and </w:t>
      </w:r>
      <w:r>
        <w:t>Record K</w:t>
      </w:r>
      <w:r w:rsidRPr="00A14ED1">
        <w:t>eeping</w:t>
      </w:r>
    </w:p>
    <w:p w14:paraId="4E799B79" w14:textId="6C05C99E" w:rsidR="004939C6" w:rsidRDefault="004939C6" w:rsidP="004939C6">
      <w:pPr>
        <w:pStyle w:val="Heading2"/>
        <w:rPr>
          <w:rFonts w:eastAsia="Malgun Gothic"/>
        </w:rPr>
      </w:pPr>
      <w:r w:rsidRPr="008C6C82">
        <w:t xml:space="preserve">All risk assessments are reviewed and recorded annually, when major structural work is planned </w:t>
      </w:r>
      <w:r w:rsidRPr="008C6C82">
        <w:rPr>
          <w:rFonts w:eastAsia="Malgun Gothic"/>
        </w:rPr>
        <w:t>or in the event of an accident or incident. A separate policy on the management of health and safety describes the arrangements for regular health and safety audits of the fabric of the school, its plant, machinery and equipment, together with its arrangements for catering and cleaning and for water sampling.</w:t>
      </w:r>
    </w:p>
    <w:p w14:paraId="3514B17A" w14:textId="77777777" w:rsidR="004939C6" w:rsidRPr="004939C6" w:rsidRDefault="004939C6" w:rsidP="004939C6">
      <w:pPr>
        <w:pStyle w:val="NoSpacing"/>
        <w:rPr>
          <w:rFonts w:eastAsia="Malgun Gothic"/>
        </w:rPr>
      </w:pPr>
    </w:p>
    <w:p w14:paraId="76EF35A1" w14:textId="3C507384" w:rsidR="004939C6" w:rsidRDefault="004939C6" w:rsidP="004939C6">
      <w:pPr>
        <w:pStyle w:val="Heading2"/>
      </w:pPr>
      <w:r w:rsidRPr="008C6C82">
        <w:rPr>
          <w:rFonts w:eastAsia="Malgun Gothic"/>
        </w:rPr>
        <w:t>Risk assessments in relation to safeguarding and welfare will be maintained by the Designated Safeguarding Lead (DSL) and on the pupil's file where relevant. Risk assessments in relation to trips will be maintained</w:t>
      </w:r>
      <w:r w:rsidRPr="008C6C82">
        <w:t xml:space="preserve"> on the EVOLVE system. All other risk assessments will be held by the Health and Safety Coordinator in a sp</w:t>
      </w:r>
      <w:r>
        <w:t xml:space="preserve">ecific risk assessment folder. </w:t>
      </w:r>
    </w:p>
    <w:p w14:paraId="4585E289" w14:textId="5BF71A2A" w:rsidR="004939C6" w:rsidRPr="004939C6" w:rsidRDefault="004939C6" w:rsidP="004939C6">
      <w:pPr>
        <w:pStyle w:val="NoSpacing"/>
        <w:rPr>
          <w:szCs w:val="26"/>
        </w:rPr>
      </w:pPr>
      <w:r>
        <w:br w:type="page"/>
      </w:r>
    </w:p>
    <w:tbl>
      <w:tblPr>
        <w:tblStyle w:val="TableGrid"/>
        <w:tblW w:w="0" w:type="auto"/>
        <w:tblLook w:val="04A0" w:firstRow="1" w:lastRow="0" w:firstColumn="1" w:lastColumn="0" w:noHBand="0" w:noVBand="1"/>
      </w:tblPr>
      <w:tblGrid>
        <w:gridCol w:w="2972"/>
        <w:gridCol w:w="6656"/>
      </w:tblGrid>
      <w:tr w:rsidR="007B417F" w:rsidRPr="00B8081C" w14:paraId="3FEB54A4" w14:textId="77777777" w:rsidTr="00FA047A">
        <w:tc>
          <w:tcPr>
            <w:tcW w:w="9628" w:type="dxa"/>
            <w:gridSpan w:val="2"/>
          </w:tcPr>
          <w:p w14:paraId="5610070D" w14:textId="77777777" w:rsidR="007B417F" w:rsidRPr="00B8081C" w:rsidRDefault="007B417F" w:rsidP="00AD1462">
            <w:pPr>
              <w:pStyle w:val="NoSpacing"/>
              <w:rPr>
                <w:rFonts w:ascii="Arial" w:hAnsi="Arial" w:cs="Arial"/>
                <w:b/>
              </w:rPr>
            </w:pPr>
            <w:r w:rsidRPr="00B8081C">
              <w:rPr>
                <w:rFonts w:ascii="Arial" w:hAnsi="Arial" w:cs="Arial"/>
                <w:b/>
              </w:rPr>
              <w:lastRenderedPageBreak/>
              <w:t>Ownership and consultation</w:t>
            </w:r>
          </w:p>
        </w:tc>
      </w:tr>
      <w:tr w:rsidR="00DC0417" w:rsidRPr="00B8081C" w14:paraId="5D3E3981" w14:textId="77777777" w:rsidTr="00FA047A">
        <w:tc>
          <w:tcPr>
            <w:tcW w:w="2972" w:type="dxa"/>
          </w:tcPr>
          <w:p w14:paraId="421AE607" w14:textId="77777777" w:rsidR="00DC0417" w:rsidRPr="00B8081C" w:rsidRDefault="00DC0417" w:rsidP="00DC0417">
            <w:pPr>
              <w:pStyle w:val="NoSpacing"/>
              <w:rPr>
                <w:rFonts w:ascii="Arial" w:hAnsi="Arial" w:cs="Arial"/>
              </w:rPr>
            </w:pPr>
            <w:r w:rsidRPr="00B8081C">
              <w:rPr>
                <w:rFonts w:ascii="Arial" w:hAnsi="Arial" w:cs="Arial"/>
              </w:rPr>
              <w:t>Document sponsor (role)</w:t>
            </w:r>
          </w:p>
        </w:tc>
        <w:tc>
          <w:tcPr>
            <w:tcW w:w="6656" w:type="dxa"/>
          </w:tcPr>
          <w:p w14:paraId="1CF77B34" w14:textId="48E41441" w:rsidR="00DC0417" w:rsidRPr="00B8081C" w:rsidRDefault="00057FDC" w:rsidP="00DC0417">
            <w:pPr>
              <w:pStyle w:val="NoSpacing"/>
              <w:rPr>
                <w:rFonts w:ascii="Arial" w:hAnsi="Arial" w:cs="Arial"/>
              </w:rPr>
            </w:pPr>
            <w:r>
              <w:t xml:space="preserve">Group </w:t>
            </w:r>
            <w:r w:rsidR="00DC0417" w:rsidRPr="00D83C20">
              <w:t xml:space="preserve">Director of Education </w:t>
            </w:r>
          </w:p>
        </w:tc>
      </w:tr>
      <w:tr w:rsidR="00DC0417" w:rsidRPr="00B8081C" w14:paraId="1E9A4F49" w14:textId="77777777" w:rsidTr="00FA047A">
        <w:tc>
          <w:tcPr>
            <w:tcW w:w="2972" w:type="dxa"/>
          </w:tcPr>
          <w:p w14:paraId="3730EBDF" w14:textId="77777777" w:rsidR="00DC0417" w:rsidRPr="00B8081C" w:rsidRDefault="00DC0417" w:rsidP="00DC0417">
            <w:pPr>
              <w:pStyle w:val="NoSpacing"/>
              <w:rPr>
                <w:rFonts w:ascii="Arial" w:hAnsi="Arial" w:cs="Arial"/>
              </w:rPr>
            </w:pPr>
            <w:r w:rsidRPr="00B8081C">
              <w:rPr>
                <w:rFonts w:ascii="Arial" w:hAnsi="Arial" w:cs="Arial"/>
              </w:rPr>
              <w:t>Document author (name)</w:t>
            </w:r>
          </w:p>
        </w:tc>
        <w:tc>
          <w:tcPr>
            <w:tcW w:w="6656" w:type="dxa"/>
          </w:tcPr>
          <w:p w14:paraId="6AD593F7" w14:textId="51CF246C" w:rsidR="00DC0417" w:rsidRPr="00B8081C" w:rsidRDefault="004939C6" w:rsidP="00DC0417">
            <w:pPr>
              <w:pStyle w:val="NoSpacing"/>
              <w:rPr>
                <w:rFonts w:ascii="Arial" w:hAnsi="Arial" w:cs="Arial"/>
              </w:rPr>
            </w:pPr>
            <w:r w:rsidRPr="008C6C82">
              <w:rPr>
                <w:rFonts w:cs="Arial"/>
                <w:color w:val="000000" w:themeColor="text1"/>
              </w:rPr>
              <w:t>Marian Harker, QA Officer</w:t>
            </w:r>
          </w:p>
        </w:tc>
      </w:tr>
      <w:tr w:rsidR="00DC0417" w:rsidRPr="00B8081C" w14:paraId="738DF610" w14:textId="77777777" w:rsidTr="00FA047A">
        <w:tc>
          <w:tcPr>
            <w:tcW w:w="2972" w:type="dxa"/>
          </w:tcPr>
          <w:p w14:paraId="20E0745F" w14:textId="0434D42F" w:rsidR="00DC0417" w:rsidRPr="00B8081C" w:rsidRDefault="00DC0417" w:rsidP="00DC0417">
            <w:pPr>
              <w:pStyle w:val="NoSpacing"/>
              <w:rPr>
                <w:rFonts w:ascii="Arial" w:hAnsi="Arial" w:cs="Arial"/>
              </w:rPr>
            </w:pPr>
            <w:r w:rsidRPr="00B8081C">
              <w:rPr>
                <w:rFonts w:ascii="Arial" w:hAnsi="Arial" w:cs="Arial"/>
              </w:rPr>
              <w:t xml:space="preserve">Consultation </w:t>
            </w:r>
            <w:r>
              <w:rPr>
                <w:rFonts w:ascii="Arial" w:hAnsi="Arial" w:cs="Arial"/>
              </w:rPr>
              <w:t>– May 2017</w:t>
            </w:r>
          </w:p>
        </w:tc>
        <w:tc>
          <w:tcPr>
            <w:tcW w:w="6656" w:type="dxa"/>
          </w:tcPr>
          <w:p w14:paraId="2CF67E6A" w14:textId="30782F64" w:rsidR="00DC0417" w:rsidRDefault="00DC0417" w:rsidP="00DC0417">
            <w:pPr>
              <w:pStyle w:val="NoSpacing"/>
            </w:pPr>
            <w:r>
              <w:t xml:space="preserve">The following schools were consulted: </w:t>
            </w:r>
            <w:r w:rsidR="004939C6" w:rsidRPr="008C6C82">
              <w:rPr>
                <w:rFonts w:cs="Arial"/>
                <w:color w:val="000000" w:themeColor="text1"/>
              </w:rPr>
              <w:t xml:space="preserve">Downsend Leatherhead Pre-Prep School, Charterhouse Square School, Cumnor Boys’ School, Oakleigh House School, Quinton House School, Long Close School, El </w:t>
            </w:r>
            <w:proofErr w:type="spellStart"/>
            <w:r w:rsidR="004939C6" w:rsidRPr="008C6C82">
              <w:rPr>
                <w:rFonts w:cs="Arial"/>
                <w:color w:val="000000" w:themeColor="text1"/>
              </w:rPr>
              <w:t>Limonar</w:t>
            </w:r>
            <w:proofErr w:type="spellEnd"/>
            <w:r w:rsidR="004939C6" w:rsidRPr="008C6C82">
              <w:rPr>
                <w:rFonts w:cs="Arial"/>
                <w:color w:val="000000" w:themeColor="text1"/>
              </w:rPr>
              <w:t xml:space="preserve"> Murcia School and El </w:t>
            </w:r>
            <w:proofErr w:type="spellStart"/>
            <w:r w:rsidR="004939C6" w:rsidRPr="008C6C82">
              <w:rPr>
                <w:rFonts w:cs="Arial"/>
                <w:color w:val="000000" w:themeColor="text1"/>
              </w:rPr>
              <w:t>Limonar</w:t>
            </w:r>
            <w:proofErr w:type="spellEnd"/>
            <w:r w:rsidR="004939C6" w:rsidRPr="008C6C82">
              <w:rPr>
                <w:rFonts w:cs="Arial"/>
                <w:color w:val="000000" w:themeColor="text1"/>
              </w:rPr>
              <w:t xml:space="preserve"> </w:t>
            </w:r>
            <w:proofErr w:type="spellStart"/>
            <w:r w:rsidR="004939C6" w:rsidRPr="008C6C82">
              <w:rPr>
                <w:rFonts w:cs="Arial"/>
                <w:color w:val="000000" w:themeColor="text1"/>
              </w:rPr>
              <w:t>Villamartin</w:t>
            </w:r>
            <w:proofErr w:type="spellEnd"/>
            <w:r w:rsidR="004939C6" w:rsidRPr="008C6C82">
              <w:rPr>
                <w:rFonts w:cs="Arial"/>
                <w:color w:val="000000" w:themeColor="text1"/>
              </w:rPr>
              <w:t xml:space="preserve"> School.</w:t>
            </w:r>
          </w:p>
          <w:p w14:paraId="0546433C" w14:textId="7553D98C" w:rsidR="00DC0417" w:rsidRPr="00B8081C" w:rsidRDefault="00DC0417" w:rsidP="004939C6">
            <w:pPr>
              <w:pStyle w:val="NoSpacing"/>
              <w:rPr>
                <w:rFonts w:ascii="Arial" w:hAnsi="Arial" w:cs="Arial"/>
              </w:rPr>
            </w:pPr>
            <w:r>
              <w:t>Education Team r</w:t>
            </w:r>
            <w:r w:rsidR="004939C6">
              <w:t>epresentative – John Coleman</w:t>
            </w:r>
            <w:r>
              <w:t>, ADE.</w:t>
            </w:r>
          </w:p>
        </w:tc>
      </w:tr>
    </w:tbl>
    <w:p w14:paraId="5CC697B8"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3"/>
        <w:gridCol w:w="6665"/>
      </w:tblGrid>
      <w:tr w:rsidR="007B417F" w:rsidRPr="00B8081C" w14:paraId="06AED392" w14:textId="77777777" w:rsidTr="00AD1462">
        <w:tc>
          <w:tcPr>
            <w:tcW w:w="10138" w:type="dxa"/>
            <w:gridSpan w:val="2"/>
          </w:tcPr>
          <w:p w14:paraId="49D8367A" w14:textId="77777777" w:rsidR="007B417F" w:rsidRPr="00B8081C" w:rsidRDefault="007B417F" w:rsidP="00AD1462">
            <w:pPr>
              <w:pStyle w:val="NoSpacing"/>
              <w:rPr>
                <w:rFonts w:ascii="Arial" w:hAnsi="Arial" w:cs="Arial"/>
                <w:b/>
              </w:rPr>
            </w:pPr>
            <w:r w:rsidRPr="00B8081C">
              <w:rPr>
                <w:rFonts w:ascii="Arial" w:hAnsi="Arial" w:cs="Arial"/>
                <w:b/>
              </w:rPr>
              <w:t>Audience</w:t>
            </w:r>
          </w:p>
        </w:tc>
      </w:tr>
      <w:tr w:rsidR="007B417F" w:rsidRPr="00B8081C" w14:paraId="21B728EB" w14:textId="77777777" w:rsidTr="00AD1462">
        <w:tc>
          <w:tcPr>
            <w:tcW w:w="3085" w:type="dxa"/>
          </w:tcPr>
          <w:p w14:paraId="7BF73511" w14:textId="77777777" w:rsidR="007B417F" w:rsidRPr="00B8081C" w:rsidRDefault="007B417F" w:rsidP="00AD1462">
            <w:pPr>
              <w:pStyle w:val="NoSpacing"/>
              <w:rPr>
                <w:rFonts w:ascii="Arial" w:hAnsi="Arial" w:cs="Arial"/>
              </w:rPr>
            </w:pPr>
            <w:r w:rsidRPr="00B8081C">
              <w:rPr>
                <w:rFonts w:ascii="Arial" w:hAnsi="Arial" w:cs="Arial"/>
              </w:rPr>
              <w:t>Audience</w:t>
            </w:r>
          </w:p>
        </w:tc>
        <w:tc>
          <w:tcPr>
            <w:tcW w:w="7053" w:type="dxa"/>
          </w:tcPr>
          <w:p w14:paraId="55BBD3BF" w14:textId="6FBC0B86" w:rsidR="007B417F" w:rsidRPr="00B8081C" w:rsidRDefault="004939C6" w:rsidP="00AD1462">
            <w:pPr>
              <w:pStyle w:val="NoSpacing"/>
              <w:rPr>
                <w:rFonts w:ascii="Arial" w:hAnsi="Arial" w:cs="Arial"/>
              </w:rPr>
            </w:pPr>
            <w:r>
              <w:t>All</w:t>
            </w:r>
            <w:r w:rsidR="00DC0417">
              <w:t xml:space="preserve"> school staff</w:t>
            </w:r>
          </w:p>
        </w:tc>
      </w:tr>
    </w:tbl>
    <w:p w14:paraId="0AA993BE"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8"/>
        <w:gridCol w:w="6660"/>
      </w:tblGrid>
      <w:tr w:rsidR="007B417F" w:rsidRPr="00B8081C" w14:paraId="56508441" w14:textId="77777777" w:rsidTr="007B417F">
        <w:tc>
          <w:tcPr>
            <w:tcW w:w="9628" w:type="dxa"/>
            <w:gridSpan w:val="2"/>
          </w:tcPr>
          <w:p w14:paraId="2695A7BB" w14:textId="7C3E4D2B" w:rsidR="007B417F" w:rsidRPr="00B8081C" w:rsidRDefault="007B417F" w:rsidP="007B417F">
            <w:pPr>
              <w:pStyle w:val="NoSpacing"/>
              <w:rPr>
                <w:rFonts w:ascii="Arial" w:hAnsi="Arial" w:cs="Arial"/>
                <w:b/>
              </w:rPr>
            </w:pPr>
            <w:r w:rsidRPr="00B8081C">
              <w:rPr>
                <w:rFonts w:ascii="Arial" w:hAnsi="Arial" w:cs="Arial"/>
                <w:b/>
              </w:rPr>
              <w:t xml:space="preserve">Document application </w:t>
            </w:r>
            <w:r w:rsidR="00FA047A">
              <w:rPr>
                <w:rFonts w:ascii="Arial" w:hAnsi="Arial" w:cs="Arial"/>
                <w:b/>
              </w:rPr>
              <w:t>and publication</w:t>
            </w:r>
          </w:p>
        </w:tc>
      </w:tr>
      <w:tr w:rsidR="00DC0417" w:rsidRPr="00B8081C" w14:paraId="7C6D5FD3" w14:textId="77777777" w:rsidTr="007B417F">
        <w:tc>
          <w:tcPr>
            <w:tcW w:w="2968" w:type="dxa"/>
          </w:tcPr>
          <w:p w14:paraId="69EE8ADA" w14:textId="4F7E9829" w:rsidR="00DC0417" w:rsidRPr="00B8081C" w:rsidRDefault="00DC0417" w:rsidP="00DC0417">
            <w:pPr>
              <w:pStyle w:val="NoSpacing"/>
              <w:rPr>
                <w:rFonts w:ascii="Arial" w:hAnsi="Arial" w:cs="Arial"/>
              </w:rPr>
            </w:pPr>
            <w:r>
              <w:rPr>
                <w:rFonts w:ascii="Arial" w:hAnsi="Arial" w:cs="Arial"/>
              </w:rPr>
              <w:t>England</w:t>
            </w:r>
          </w:p>
        </w:tc>
        <w:tc>
          <w:tcPr>
            <w:tcW w:w="6660" w:type="dxa"/>
          </w:tcPr>
          <w:p w14:paraId="7F51B3D8" w14:textId="1D7F8C8A" w:rsidR="00DC0417" w:rsidRPr="00B8081C" w:rsidRDefault="00DC0417" w:rsidP="00DC0417">
            <w:pPr>
              <w:pStyle w:val="NoSpacing"/>
              <w:rPr>
                <w:rFonts w:ascii="Arial" w:hAnsi="Arial" w:cs="Arial"/>
              </w:rPr>
            </w:pPr>
            <w:r>
              <w:t>Yes</w:t>
            </w:r>
          </w:p>
        </w:tc>
      </w:tr>
      <w:tr w:rsidR="00DC0417" w:rsidRPr="00B8081C" w14:paraId="3A0ED407" w14:textId="77777777" w:rsidTr="007B417F">
        <w:tc>
          <w:tcPr>
            <w:tcW w:w="2968" w:type="dxa"/>
          </w:tcPr>
          <w:p w14:paraId="78367C4E" w14:textId="65E8D33A" w:rsidR="00DC0417" w:rsidRDefault="00DC0417" w:rsidP="00DC0417">
            <w:pPr>
              <w:pStyle w:val="NoSpacing"/>
              <w:rPr>
                <w:rFonts w:ascii="Arial" w:hAnsi="Arial" w:cs="Arial"/>
              </w:rPr>
            </w:pPr>
            <w:r>
              <w:rPr>
                <w:rFonts w:ascii="Arial" w:hAnsi="Arial" w:cs="Arial"/>
              </w:rPr>
              <w:t>Wales</w:t>
            </w:r>
          </w:p>
        </w:tc>
        <w:tc>
          <w:tcPr>
            <w:tcW w:w="6660" w:type="dxa"/>
          </w:tcPr>
          <w:p w14:paraId="5D4BA53C" w14:textId="413F57C2" w:rsidR="00DC0417" w:rsidRPr="00B8081C" w:rsidRDefault="00DC0417" w:rsidP="00DC0417">
            <w:pPr>
              <w:pStyle w:val="NoSpacing"/>
              <w:rPr>
                <w:rFonts w:ascii="Arial" w:hAnsi="Arial" w:cs="Arial"/>
              </w:rPr>
            </w:pPr>
            <w:r>
              <w:t>Yes</w:t>
            </w:r>
          </w:p>
        </w:tc>
      </w:tr>
      <w:tr w:rsidR="00DC0417" w:rsidRPr="00B8081C" w14:paraId="192605FB" w14:textId="77777777" w:rsidTr="007B417F">
        <w:tc>
          <w:tcPr>
            <w:tcW w:w="2968" w:type="dxa"/>
          </w:tcPr>
          <w:p w14:paraId="36E521C3" w14:textId="62C03C68" w:rsidR="00DC0417" w:rsidRDefault="00DC0417" w:rsidP="00DC0417">
            <w:pPr>
              <w:pStyle w:val="NoSpacing"/>
              <w:rPr>
                <w:rFonts w:ascii="Arial" w:hAnsi="Arial" w:cs="Arial"/>
              </w:rPr>
            </w:pPr>
            <w:r>
              <w:rPr>
                <w:rFonts w:ascii="Arial" w:hAnsi="Arial" w:cs="Arial"/>
              </w:rPr>
              <w:t>Spain</w:t>
            </w:r>
          </w:p>
        </w:tc>
        <w:tc>
          <w:tcPr>
            <w:tcW w:w="6660" w:type="dxa"/>
          </w:tcPr>
          <w:p w14:paraId="0F4D0784" w14:textId="36168E36" w:rsidR="00DC0417" w:rsidRDefault="00DC0417" w:rsidP="00DC0417">
            <w:pPr>
              <w:pStyle w:val="NoSpacing"/>
              <w:rPr>
                <w:rFonts w:ascii="Arial" w:hAnsi="Arial" w:cs="Arial"/>
              </w:rPr>
            </w:pPr>
            <w:r>
              <w:t>Yes</w:t>
            </w:r>
          </w:p>
        </w:tc>
      </w:tr>
    </w:tbl>
    <w:p w14:paraId="17FDEB9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3000"/>
        <w:gridCol w:w="6628"/>
      </w:tblGrid>
      <w:tr w:rsidR="007B417F" w:rsidRPr="00B8081C" w14:paraId="45BF5F4D" w14:textId="77777777" w:rsidTr="00DC0417">
        <w:tc>
          <w:tcPr>
            <w:tcW w:w="9628" w:type="dxa"/>
            <w:gridSpan w:val="2"/>
          </w:tcPr>
          <w:p w14:paraId="03433E72" w14:textId="77777777" w:rsidR="007B417F" w:rsidRPr="00B8081C" w:rsidRDefault="007B417F" w:rsidP="00AD1462">
            <w:pPr>
              <w:pStyle w:val="NoSpacing"/>
              <w:rPr>
                <w:rFonts w:ascii="Arial" w:hAnsi="Arial" w:cs="Arial"/>
                <w:b/>
              </w:rPr>
            </w:pPr>
            <w:r w:rsidRPr="00B8081C">
              <w:rPr>
                <w:rFonts w:ascii="Arial" w:hAnsi="Arial" w:cs="Arial"/>
                <w:b/>
              </w:rPr>
              <w:t>Version control</w:t>
            </w:r>
          </w:p>
        </w:tc>
      </w:tr>
      <w:tr w:rsidR="00DC0417" w:rsidRPr="00B8081C" w14:paraId="3432FAC2" w14:textId="77777777" w:rsidTr="00DC0417">
        <w:tc>
          <w:tcPr>
            <w:tcW w:w="3000" w:type="dxa"/>
          </w:tcPr>
          <w:p w14:paraId="59B7D62E" w14:textId="77777777" w:rsidR="00DC0417" w:rsidRPr="00B8081C" w:rsidRDefault="00DC0417" w:rsidP="00DC0417">
            <w:pPr>
              <w:pStyle w:val="NoSpacing"/>
              <w:rPr>
                <w:rFonts w:ascii="Arial" w:hAnsi="Arial" w:cs="Arial"/>
              </w:rPr>
            </w:pPr>
            <w:r w:rsidRPr="00B8081C">
              <w:rPr>
                <w:rFonts w:ascii="Arial" w:hAnsi="Arial" w:cs="Arial"/>
              </w:rPr>
              <w:t>Implementation date</w:t>
            </w:r>
          </w:p>
        </w:tc>
        <w:tc>
          <w:tcPr>
            <w:tcW w:w="6628" w:type="dxa"/>
          </w:tcPr>
          <w:p w14:paraId="7CA07EF2" w14:textId="37C2163C" w:rsidR="00DC0417" w:rsidRPr="00B8081C" w:rsidRDefault="00DC0417" w:rsidP="00DC0417">
            <w:pPr>
              <w:pStyle w:val="NoSpacing"/>
              <w:rPr>
                <w:rFonts w:ascii="Arial" w:hAnsi="Arial" w:cs="Arial"/>
              </w:rPr>
            </w:pPr>
            <w:r>
              <w:t>01.09.201</w:t>
            </w:r>
            <w:r w:rsidR="00057FDC">
              <w:t>9</w:t>
            </w:r>
          </w:p>
        </w:tc>
      </w:tr>
      <w:tr w:rsidR="00DC0417" w:rsidRPr="00B8081C" w14:paraId="323E7867" w14:textId="77777777" w:rsidTr="00DC0417">
        <w:tc>
          <w:tcPr>
            <w:tcW w:w="3000" w:type="dxa"/>
          </w:tcPr>
          <w:p w14:paraId="22CAAD3C" w14:textId="50723CD1" w:rsidR="00DC0417" w:rsidRPr="00B8081C" w:rsidRDefault="00DC0417" w:rsidP="00DC0417">
            <w:pPr>
              <w:pStyle w:val="NoSpacing"/>
              <w:rPr>
                <w:rFonts w:ascii="Arial" w:hAnsi="Arial" w:cs="Arial"/>
              </w:rPr>
            </w:pPr>
            <w:r>
              <w:rPr>
                <w:rFonts w:ascii="Arial" w:hAnsi="Arial" w:cs="Arial"/>
              </w:rPr>
              <w:t>Review date</w:t>
            </w:r>
          </w:p>
        </w:tc>
        <w:tc>
          <w:tcPr>
            <w:tcW w:w="6628" w:type="dxa"/>
          </w:tcPr>
          <w:p w14:paraId="54649895" w14:textId="3BCD31F1" w:rsidR="00DC0417" w:rsidRPr="00B8081C" w:rsidRDefault="00DC0417" w:rsidP="00DC0417">
            <w:pPr>
              <w:pStyle w:val="NoSpacing"/>
              <w:rPr>
                <w:rFonts w:ascii="Arial" w:hAnsi="Arial" w:cs="Arial"/>
              </w:rPr>
            </w:pPr>
            <w:r>
              <w:t>Review and update for implementation in September 20</w:t>
            </w:r>
            <w:r w:rsidR="00057FDC">
              <w:t>20</w:t>
            </w:r>
          </w:p>
        </w:tc>
      </w:tr>
    </w:tbl>
    <w:p w14:paraId="219DCCF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7"/>
        <w:gridCol w:w="6641"/>
      </w:tblGrid>
      <w:tr w:rsidR="007B417F" w:rsidRPr="00B8081C" w14:paraId="1924AA14" w14:textId="77777777" w:rsidTr="007B417F">
        <w:tc>
          <w:tcPr>
            <w:tcW w:w="9628" w:type="dxa"/>
            <w:gridSpan w:val="2"/>
          </w:tcPr>
          <w:p w14:paraId="0449AAA8" w14:textId="43A3DFAB" w:rsidR="007B417F" w:rsidRPr="00B8081C" w:rsidRDefault="007B417F" w:rsidP="00AD1462">
            <w:pPr>
              <w:pStyle w:val="NoSpacing"/>
              <w:rPr>
                <w:rFonts w:ascii="Arial" w:hAnsi="Arial" w:cs="Arial"/>
                <w:b/>
              </w:rPr>
            </w:pPr>
            <w:r w:rsidRPr="00B8081C">
              <w:rPr>
                <w:rFonts w:ascii="Arial" w:hAnsi="Arial" w:cs="Arial"/>
                <w:b/>
              </w:rPr>
              <w:t>Related documentation</w:t>
            </w:r>
          </w:p>
        </w:tc>
      </w:tr>
      <w:tr w:rsidR="007B417F" w:rsidRPr="00B8081C" w14:paraId="491B9C9E" w14:textId="77777777" w:rsidTr="007B417F">
        <w:tc>
          <w:tcPr>
            <w:tcW w:w="2987" w:type="dxa"/>
          </w:tcPr>
          <w:p w14:paraId="2E9D79D6" w14:textId="465BD9F9" w:rsidR="007B417F" w:rsidRPr="00B8081C" w:rsidRDefault="007B417F" w:rsidP="00AD1462">
            <w:pPr>
              <w:pStyle w:val="NoSpacing"/>
              <w:rPr>
                <w:rFonts w:ascii="Arial" w:hAnsi="Arial" w:cs="Arial"/>
              </w:rPr>
            </w:pPr>
            <w:r w:rsidRPr="00B8081C">
              <w:rPr>
                <w:rFonts w:ascii="Arial" w:hAnsi="Arial" w:cs="Arial"/>
              </w:rPr>
              <w:t>Related documentation</w:t>
            </w:r>
          </w:p>
        </w:tc>
        <w:tc>
          <w:tcPr>
            <w:tcW w:w="6641" w:type="dxa"/>
          </w:tcPr>
          <w:p w14:paraId="31E985A1" w14:textId="77777777" w:rsidR="004939C6" w:rsidRPr="008C6C82" w:rsidRDefault="004939C6" w:rsidP="004939C6">
            <w:pPr>
              <w:pStyle w:val="TempBodyText"/>
              <w:spacing w:after="0" w:line="240" w:lineRule="auto"/>
              <w:ind w:left="0" w:firstLine="0"/>
              <w:rPr>
                <w:rFonts w:asciiTheme="minorHAnsi" w:hAnsiTheme="minorHAnsi"/>
                <w:color w:val="000000" w:themeColor="text1"/>
              </w:rPr>
            </w:pPr>
            <w:r w:rsidRPr="008C6C82">
              <w:rPr>
                <w:rFonts w:asciiTheme="minorHAnsi" w:hAnsiTheme="minorHAnsi"/>
                <w:color w:val="000000" w:themeColor="text1"/>
              </w:rPr>
              <w:t>Behaviour Policy</w:t>
            </w:r>
          </w:p>
          <w:p w14:paraId="66B84076" w14:textId="77777777" w:rsidR="004939C6" w:rsidRPr="008C6C82" w:rsidRDefault="004939C6" w:rsidP="004939C6">
            <w:pPr>
              <w:pStyle w:val="TempBodyText"/>
              <w:spacing w:after="0" w:line="240" w:lineRule="auto"/>
              <w:ind w:left="0" w:firstLine="0"/>
              <w:rPr>
                <w:rFonts w:asciiTheme="minorHAnsi" w:hAnsiTheme="minorHAnsi"/>
                <w:color w:val="000000" w:themeColor="text1"/>
              </w:rPr>
            </w:pPr>
            <w:r w:rsidRPr="008C6C82">
              <w:rPr>
                <w:rFonts w:asciiTheme="minorHAnsi" w:hAnsiTheme="minorHAnsi"/>
                <w:color w:val="000000" w:themeColor="text1"/>
              </w:rPr>
              <w:t>Health and Safety Policy</w:t>
            </w:r>
          </w:p>
          <w:p w14:paraId="458DD9F1" w14:textId="48B8FB3B" w:rsidR="004939C6" w:rsidRPr="008C6C82" w:rsidRDefault="004939C6" w:rsidP="004939C6">
            <w:pPr>
              <w:pStyle w:val="TempBodyText"/>
              <w:spacing w:after="0" w:line="240" w:lineRule="auto"/>
              <w:ind w:left="0" w:firstLine="0"/>
              <w:rPr>
                <w:rFonts w:asciiTheme="minorHAnsi" w:hAnsiTheme="minorHAnsi"/>
                <w:color w:val="000000" w:themeColor="text1"/>
              </w:rPr>
            </w:pPr>
            <w:r w:rsidRPr="008C6C82">
              <w:rPr>
                <w:rFonts w:asciiTheme="minorHAnsi" w:hAnsiTheme="minorHAnsi"/>
                <w:color w:val="000000" w:themeColor="text1"/>
              </w:rPr>
              <w:t>First Aid</w:t>
            </w:r>
            <w:r w:rsidR="00057FDC">
              <w:rPr>
                <w:rFonts w:asciiTheme="minorHAnsi" w:hAnsiTheme="minorHAnsi"/>
                <w:color w:val="000000" w:themeColor="text1"/>
              </w:rPr>
              <w:t xml:space="preserve"> </w:t>
            </w:r>
            <w:r w:rsidRPr="008C6C82">
              <w:rPr>
                <w:rFonts w:asciiTheme="minorHAnsi" w:hAnsiTheme="minorHAnsi"/>
                <w:color w:val="000000" w:themeColor="text1"/>
              </w:rPr>
              <w:t xml:space="preserve">Policy </w:t>
            </w:r>
          </w:p>
          <w:p w14:paraId="6DEEBBAE" w14:textId="77777777" w:rsidR="004939C6" w:rsidRPr="008C6C82" w:rsidRDefault="004939C6" w:rsidP="004939C6">
            <w:pPr>
              <w:pStyle w:val="TempBodyText"/>
              <w:spacing w:after="0" w:line="240" w:lineRule="auto"/>
              <w:ind w:left="0" w:firstLine="0"/>
              <w:rPr>
                <w:rFonts w:asciiTheme="minorHAnsi" w:hAnsiTheme="minorHAnsi"/>
                <w:color w:val="000000" w:themeColor="text1"/>
              </w:rPr>
            </w:pPr>
            <w:r w:rsidRPr="008C6C82">
              <w:rPr>
                <w:rFonts w:asciiTheme="minorHAnsi" w:hAnsiTheme="minorHAnsi"/>
                <w:color w:val="000000" w:themeColor="text1"/>
              </w:rPr>
              <w:t>Educational Visits Policy</w:t>
            </w:r>
          </w:p>
          <w:p w14:paraId="7AA2E6D6" w14:textId="77777777" w:rsidR="004939C6" w:rsidRPr="008C6C82" w:rsidRDefault="004939C6" w:rsidP="004939C6">
            <w:pPr>
              <w:pStyle w:val="TempBodyText"/>
              <w:spacing w:after="0" w:line="240" w:lineRule="auto"/>
              <w:ind w:left="0" w:firstLine="0"/>
              <w:rPr>
                <w:rFonts w:asciiTheme="minorHAnsi" w:hAnsiTheme="minorHAnsi"/>
                <w:color w:val="000000" w:themeColor="text1"/>
              </w:rPr>
            </w:pPr>
            <w:r>
              <w:rPr>
                <w:rFonts w:asciiTheme="minorHAnsi" w:hAnsiTheme="minorHAnsi"/>
                <w:color w:val="000000" w:themeColor="text1"/>
              </w:rPr>
              <w:t>Safeguarding and C</w:t>
            </w:r>
            <w:r w:rsidRPr="008C6C82">
              <w:rPr>
                <w:rFonts w:asciiTheme="minorHAnsi" w:hAnsiTheme="minorHAnsi"/>
                <w:color w:val="000000" w:themeColor="text1"/>
              </w:rPr>
              <w:t xml:space="preserve">hild Protection Policy </w:t>
            </w:r>
          </w:p>
          <w:p w14:paraId="567E9DD8" w14:textId="77777777" w:rsidR="004939C6" w:rsidRPr="008C6C82" w:rsidRDefault="004939C6" w:rsidP="004939C6">
            <w:pPr>
              <w:pStyle w:val="TempBodyText"/>
              <w:spacing w:after="0" w:line="240" w:lineRule="auto"/>
              <w:ind w:left="0" w:firstLine="0"/>
              <w:rPr>
                <w:rFonts w:asciiTheme="minorHAnsi" w:hAnsiTheme="minorHAnsi"/>
                <w:color w:val="000000" w:themeColor="text1"/>
              </w:rPr>
            </w:pPr>
            <w:r w:rsidRPr="008C6C82">
              <w:rPr>
                <w:rFonts w:asciiTheme="minorHAnsi" w:hAnsiTheme="minorHAnsi"/>
                <w:color w:val="000000" w:themeColor="text1"/>
              </w:rPr>
              <w:t xml:space="preserve">Safer Recruitment Policy </w:t>
            </w:r>
          </w:p>
          <w:p w14:paraId="527A5C48" w14:textId="77777777" w:rsidR="004939C6" w:rsidRPr="008C6C82" w:rsidRDefault="004939C6" w:rsidP="004939C6">
            <w:pPr>
              <w:pStyle w:val="TempBodyText"/>
              <w:spacing w:after="0" w:line="240" w:lineRule="auto"/>
              <w:ind w:left="0" w:firstLine="0"/>
              <w:rPr>
                <w:rFonts w:asciiTheme="minorHAnsi" w:hAnsiTheme="minorHAnsi"/>
                <w:color w:val="000000" w:themeColor="text1"/>
              </w:rPr>
            </w:pPr>
            <w:r w:rsidRPr="008C6C82">
              <w:rPr>
                <w:rFonts w:asciiTheme="minorHAnsi" w:hAnsiTheme="minorHAnsi"/>
                <w:color w:val="000000" w:themeColor="text1"/>
              </w:rPr>
              <w:t>Educational Visit Policy</w:t>
            </w:r>
          </w:p>
          <w:p w14:paraId="3B3316D0" w14:textId="77777777" w:rsidR="004939C6" w:rsidRPr="008C6C82" w:rsidRDefault="004939C6" w:rsidP="004939C6">
            <w:pPr>
              <w:pStyle w:val="TempBodyText"/>
              <w:spacing w:after="0" w:line="240" w:lineRule="auto"/>
              <w:ind w:left="0" w:firstLine="0"/>
              <w:rPr>
                <w:rFonts w:asciiTheme="minorHAnsi" w:hAnsiTheme="minorHAnsi"/>
                <w:color w:val="000000" w:themeColor="text1"/>
              </w:rPr>
            </w:pPr>
            <w:r w:rsidRPr="008C6C82">
              <w:rPr>
                <w:rFonts w:asciiTheme="minorHAnsi" w:hAnsiTheme="minorHAnsi"/>
                <w:color w:val="000000" w:themeColor="text1"/>
              </w:rPr>
              <w:t>Risk Assessment templates</w:t>
            </w:r>
          </w:p>
          <w:p w14:paraId="6A57E5E6" w14:textId="31FF0F8B" w:rsidR="007B417F" w:rsidRPr="00B8081C" w:rsidRDefault="004939C6" w:rsidP="004939C6">
            <w:pPr>
              <w:pStyle w:val="NoSpacing"/>
              <w:rPr>
                <w:rFonts w:ascii="Arial" w:hAnsi="Arial" w:cs="Arial"/>
              </w:rPr>
            </w:pPr>
            <w:r w:rsidRPr="008C6C82">
              <w:rPr>
                <w:color w:val="000000" w:themeColor="text1"/>
              </w:rPr>
              <w:t>Accessibility Plan</w:t>
            </w:r>
          </w:p>
        </w:tc>
      </w:tr>
    </w:tbl>
    <w:p w14:paraId="6FE2E8EB" w14:textId="67CB09F5" w:rsidR="0097581B" w:rsidRPr="00B8081C" w:rsidRDefault="0097581B" w:rsidP="009B5DD0">
      <w:pPr>
        <w:pStyle w:val="NoSpacing"/>
        <w:rPr>
          <w:rFonts w:ascii="Arial" w:hAnsi="Arial" w:cs="Arial"/>
          <w:noProof/>
          <w:sz w:val="24"/>
          <w:szCs w:val="24"/>
        </w:rPr>
      </w:pPr>
    </w:p>
    <w:sectPr w:rsidR="0097581B" w:rsidRPr="00B8081C" w:rsidSect="00B8081C">
      <w:headerReference w:type="default" r:id="rId14"/>
      <w:footerReference w:type="default" r:id="rId15"/>
      <w:footerReference w:type="first" r:id="rId16"/>
      <w:type w:val="continuous"/>
      <w:pgSz w:w="11906" w:h="16838"/>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22EEF" w14:textId="77777777" w:rsidR="00784670" w:rsidRDefault="00784670" w:rsidP="00C75CEE">
      <w:r>
        <w:separator/>
      </w:r>
    </w:p>
  </w:endnote>
  <w:endnote w:type="continuationSeparator" w:id="0">
    <w:p w14:paraId="7D69A6D4" w14:textId="77777777" w:rsidR="00784670" w:rsidRDefault="00784670" w:rsidP="00C7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99918"/>
      <w:docPartObj>
        <w:docPartGallery w:val="Page Numbers (Bottom of Page)"/>
        <w:docPartUnique/>
      </w:docPartObj>
    </w:sdtPr>
    <w:sdtEndPr>
      <w:rPr>
        <w:rFonts w:ascii="Arial" w:hAnsi="Arial" w:cs="Arial"/>
        <w:noProof/>
        <w:sz w:val="14"/>
      </w:rPr>
    </w:sdtEndPr>
    <w:sdtContent>
      <w:p w14:paraId="226844FF" w14:textId="77777777" w:rsidR="00ED64DB" w:rsidRPr="00ED64DB" w:rsidRDefault="00ED64DB">
        <w:pPr>
          <w:pStyle w:val="Footer"/>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sidR="00270E27">
          <w:rPr>
            <w:rFonts w:ascii="Arial" w:hAnsi="Arial" w:cs="Arial"/>
            <w:noProof/>
            <w:sz w:val="14"/>
          </w:rPr>
          <w:t>7</w:t>
        </w:r>
        <w:r w:rsidRPr="00ED64DB">
          <w:rPr>
            <w:rFonts w:ascii="Arial" w:hAnsi="Arial" w:cs="Arial"/>
            <w:noProof/>
            <w:sz w:val="14"/>
          </w:rPr>
          <w:fldChar w:fldCharType="end"/>
        </w:r>
        <w:r w:rsidR="0031055F">
          <w:rPr>
            <w:rFonts w:ascii="Arial" w:hAnsi="Arial" w:cs="Arial"/>
            <w:noProof/>
            <w:sz w:val="14"/>
          </w:rPr>
          <w:tab/>
        </w:r>
        <w:r w:rsidR="0031055F">
          <w:rPr>
            <w:rFonts w:ascii="Arial" w:hAnsi="Arial" w:cs="Arial"/>
            <w:noProof/>
            <w:sz w:val="14"/>
          </w:rPr>
          <w:tab/>
        </w:r>
        <w:r w:rsidR="00DC0417">
          <w:rPr>
            <w:rFonts w:ascii="Arial" w:hAnsi="Arial" w:cs="Arial"/>
            <w:noProof/>
            <w:sz w:val="14"/>
          </w:rPr>
          <w:t>September 201</w:t>
        </w:r>
        <w:r w:rsidR="00057FDC">
          <w:rPr>
            <w:rFonts w:ascii="Arial" w:hAnsi="Arial" w:cs="Arial"/>
            <w:noProof/>
            <w:sz w:val="14"/>
          </w:rPr>
          <w:t>9</w:t>
        </w:r>
      </w:p>
    </w:sdtContent>
  </w:sdt>
  <w:p w14:paraId="2BFDF0C8" w14:textId="7F0FD894" w:rsidR="00080AA1" w:rsidRPr="007B417F" w:rsidRDefault="00080AA1"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DC58" w14:textId="1CBD26E7" w:rsidR="00EC3A7D" w:rsidRPr="00D651FD" w:rsidRDefault="00EC3A7D" w:rsidP="00EC3A7D">
    <w:pPr>
      <w:pStyle w:val="Footer"/>
      <w:spacing w:after="60"/>
      <w:ind w:left="-1260" w:right="-1228"/>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5 &amp; 7 Diamond Court, Opal Drive, Eastlake Park, Fox Milne, Milton Keynes MK15 0DU, T: 01908 396250, F: 01908 396251, </w:t>
    </w:r>
    <w:hyperlink r:id="rId1" w:history="1">
      <w:r w:rsidR="00D651FD" w:rsidRPr="00D651FD">
        <w:rPr>
          <w:rStyle w:val="Hyperlink"/>
          <w:rFonts w:ascii="Arial" w:hAnsi="Arial" w:cs="Arial"/>
          <w:color w:val="808080" w:themeColor="background1" w:themeShade="80"/>
          <w:sz w:val="14"/>
          <w:szCs w:val="16"/>
        </w:rPr>
        <w:t>www.cognita.com</w:t>
      </w:r>
    </w:hyperlink>
    <w:r w:rsidR="00D651FD" w:rsidRPr="00D651FD">
      <w:rPr>
        <w:rFonts w:ascii="Arial" w:hAnsi="Arial" w:cs="Arial"/>
        <w:color w:val="808080" w:themeColor="background1" w:themeShade="80"/>
        <w:sz w:val="14"/>
        <w:szCs w:val="16"/>
      </w:rPr>
      <w:t xml:space="preserve"> </w:t>
    </w:r>
  </w:p>
  <w:p w14:paraId="70EAF8CD" w14:textId="77777777" w:rsidR="00EC3A7D" w:rsidRPr="00D651FD" w:rsidRDefault="00EC3A7D" w:rsidP="00EC3A7D">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Registered in England </w:t>
    </w:r>
    <w:proofErr w:type="spellStart"/>
    <w:r w:rsidRPr="00D651FD">
      <w:rPr>
        <w:rFonts w:ascii="Arial" w:hAnsi="Arial" w:cs="Arial"/>
        <w:color w:val="808080" w:themeColor="background1" w:themeShade="80"/>
        <w:sz w:val="14"/>
        <w:szCs w:val="16"/>
      </w:rPr>
      <w:t>Cognita</w:t>
    </w:r>
    <w:proofErr w:type="spellEnd"/>
    <w:r w:rsidRPr="00D651FD">
      <w:rPr>
        <w:rFonts w:ascii="Arial" w:hAnsi="Arial" w:cs="Arial"/>
        <w:color w:val="808080" w:themeColor="background1" w:themeShade="80"/>
        <w:sz w:val="14"/>
        <w:szCs w:val="16"/>
      </w:rPr>
      <w:t xml:space="preserve"> Limited No 5280910 Registered Office: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House, One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Place, </w:t>
    </w:r>
    <w:proofErr w:type="spellStart"/>
    <w:r w:rsidRPr="00D651FD">
      <w:rPr>
        <w:rFonts w:ascii="Arial" w:hAnsi="Arial" w:cs="Arial"/>
        <w:color w:val="808080" w:themeColor="background1" w:themeShade="80"/>
        <w:sz w:val="14"/>
        <w:szCs w:val="16"/>
      </w:rPr>
      <w:t>Knowlhill</w:t>
    </w:r>
    <w:proofErr w:type="spellEnd"/>
    <w:r w:rsidRPr="00D651FD">
      <w:rPr>
        <w:rFonts w:ascii="Arial" w:hAnsi="Arial" w:cs="Arial"/>
        <w:color w:val="808080" w:themeColor="background1" w:themeShade="80"/>
        <w:sz w:val="14"/>
        <w:szCs w:val="16"/>
      </w:rPr>
      <w:t>, Milton Keynes MK5 8FR</w:t>
    </w:r>
  </w:p>
  <w:p w14:paraId="0157D2B4" w14:textId="77777777" w:rsidR="00EC3A7D" w:rsidRPr="00D651FD" w:rsidRDefault="00EC3A7D">
    <w:pPr>
      <w:pStyle w:val="Footer"/>
      <w:rPr>
        <w:rFonts w:ascii="Arial" w:hAnsi="Arial" w:cs="Arial"/>
        <w:color w:val="808080" w:themeColor="background1" w:themeShade="80"/>
      </w:rPr>
    </w:pPr>
  </w:p>
  <w:p w14:paraId="213AEB2E" w14:textId="77777777" w:rsidR="00EC3A7D" w:rsidRPr="00D651FD" w:rsidRDefault="00EC3A7D">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BCC0F" w14:textId="77777777" w:rsidR="00784670" w:rsidRDefault="00784670" w:rsidP="00C75CEE">
      <w:r>
        <w:separator/>
      </w:r>
    </w:p>
  </w:footnote>
  <w:footnote w:type="continuationSeparator" w:id="0">
    <w:p w14:paraId="70FD9384" w14:textId="77777777" w:rsidR="00784670" w:rsidRDefault="00784670" w:rsidP="00C7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F063" w14:textId="044657CA" w:rsidR="00A027A9" w:rsidRPr="00D651FD" w:rsidRDefault="00623061" w:rsidP="00A027A9">
    <w:pPr>
      <w:pStyle w:val="Header"/>
      <w:pBdr>
        <w:bottom w:val="single" w:sz="6" w:space="1" w:color="auto"/>
      </w:pBdr>
      <w:rPr>
        <w:rFonts w:ascii="Arial" w:hAnsi="Arial" w:cs="Arial"/>
        <w:b/>
      </w:rPr>
    </w:pPr>
    <w:r>
      <w:rPr>
        <w:rFonts w:ascii="Arial" w:hAnsi="Arial" w:cs="Arial"/>
        <w:b/>
      </w:rPr>
      <w:t>Safeguarding Risk Assessment: Welfare, Health and Safety</w:t>
    </w:r>
    <w:r w:rsidR="00DC0417">
      <w:rPr>
        <w:rFonts w:ascii="Arial" w:hAnsi="Arial" w:cs="Arial"/>
        <w:b/>
      </w:rPr>
      <w:t xml:space="preserve"> Policy</w:t>
    </w:r>
  </w:p>
  <w:p w14:paraId="0F01F9BB" w14:textId="77777777" w:rsidR="00EC3A7D" w:rsidRPr="00A027A9" w:rsidRDefault="00EC3A7D" w:rsidP="00A0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601"/>
    <w:multiLevelType w:val="hybridMultilevel"/>
    <w:tmpl w:val="F3B64B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6746E"/>
    <w:multiLevelType w:val="hybridMultilevel"/>
    <w:tmpl w:val="D188E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756EB6"/>
    <w:multiLevelType w:val="hybridMultilevel"/>
    <w:tmpl w:val="B6961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945693"/>
    <w:multiLevelType w:val="multilevel"/>
    <w:tmpl w:val="823A737A"/>
    <w:lvl w:ilvl="0">
      <w:start w:val="4"/>
      <w:numFmt w:val="decimal"/>
      <w:lvlText w:val="%1.0"/>
      <w:lvlJc w:val="left"/>
      <w:pPr>
        <w:ind w:left="360" w:hanging="360"/>
      </w:pPr>
      <w:rPr>
        <w:rFonts w:hint="default"/>
        <w:b/>
      </w:rPr>
    </w:lvl>
    <w:lvl w:ilvl="1">
      <w:start w:val="1"/>
      <w:numFmt w:val="decimal"/>
      <w:lvlText w:val="%1.%2."/>
      <w:lvlJc w:val="left"/>
      <w:pPr>
        <w:ind w:left="567" w:hanging="567"/>
      </w:pPr>
      <w:rPr>
        <w:rFonts w:hint="default"/>
        <w:b w:val="0"/>
        <w:color w:val="auto"/>
        <w:sz w:val="22"/>
        <w:szCs w:val="22"/>
      </w:rPr>
    </w:lvl>
    <w:lvl w:ilvl="2">
      <w:start w:val="1"/>
      <w:numFmt w:val="bullet"/>
      <w:lvlText w:val=""/>
      <w:lvlJc w:val="left"/>
      <w:pPr>
        <w:ind w:left="2041" w:hanging="737"/>
      </w:pPr>
      <w:rPr>
        <w:rFonts w:ascii="Symbol" w:hAnsi="Symbol"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1A14D4"/>
    <w:multiLevelType w:val="hybridMultilevel"/>
    <w:tmpl w:val="973C6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0B48A1"/>
    <w:multiLevelType w:val="hybridMultilevel"/>
    <w:tmpl w:val="38AC6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1A1DB8"/>
    <w:multiLevelType w:val="hybridMultilevel"/>
    <w:tmpl w:val="A2C884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797658"/>
    <w:multiLevelType w:val="hybridMultilevel"/>
    <w:tmpl w:val="2F808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FF4803"/>
    <w:multiLevelType w:val="hybridMultilevel"/>
    <w:tmpl w:val="B840D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2577B8"/>
    <w:multiLevelType w:val="multilevel"/>
    <w:tmpl w:val="7E3C3CA8"/>
    <w:lvl w:ilvl="0">
      <w:start w:val="3"/>
      <w:numFmt w:val="decimal"/>
      <w:lvlText w:val="%1.0"/>
      <w:lvlJc w:val="left"/>
      <w:pPr>
        <w:ind w:left="360" w:hanging="360"/>
      </w:pPr>
      <w:rPr>
        <w:rFonts w:hint="default"/>
        <w:b/>
      </w:rPr>
    </w:lvl>
    <w:lvl w:ilvl="1">
      <w:start w:val="2"/>
      <w:numFmt w:val="decimal"/>
      <w:lvlText w:val="%1.%2."/>
      <w:lvlJc w:val="left"/>
      <w:pPr>
        <w:ind w:left="567" w:hanging="567"/>
      </w:pPr>
      <w:rPr>
        <w:rFonts w:hint="default"/>
        <w:b w:val="0"/>
        <w:color w:val="auto"/>
        <w:sz w:val="22"/>
        <w:szCs w:val="22"/>
      </w:rPr>
    </w:lvl>
    <w:lvl w:ilvl="2">
      <w:start w:val="1"/>
      <w:numFmt w:val="decimal"/>
      <w:lvlText w:val="%1.%2.%3."/>
      <w:lvlJc w:val="left"/>
      <w:pPr>
        <w:ind w:left="2041" w:hanging="737"/>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143C48"/>
    <w:multiLevelType w:val="hybridMultilevel"/>
    <w:tmpl w:val="190E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9257FE"/>
    <w:multiLevelType w:val="hybridMultilevel"/>
    <w:tmpl w:val="0DD87C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F30229"/>
    <w:multiLevelType w:val="multilevel"/>
    <w:tmpl w:val="A5401936"/>
    <w:lvl w:ilvl="0">
      <w:start w:val="1"/>
      <w:numFmt w:val="decimal"/>
      <w:pStyle w:val="Heading1"/>
      <w:lvlText w:val="%1"/>
      <w:lvlJc w:val="left"/>
      <w:pPr>
        <w:ind w:left="716" w:hanging="432"/>
      </w:pPr>
    </w:lvl>
    <w:lvl w:ilvl="1">
      <w:start w:val="1"/>
      <w:numFmt w:val="decimal"/>
      <w:pStyle w:val="Heading2"/>
      <w:lvlText w:val="%1.%2"/>
      <w:lvlJc w:val="left"/>
      <w:pPr>
        <w:ind w:left="718" w:hanging="576"/>
      </w:pPr>
      <w:rPr>
        <w:b w:val="0"/>
        <w:i w:val="0"/>
        <w:color w:val="000000" w:themeColor="text1"/>
        <w:sz w:val="22"/>
        <w:szCs w:val="22"/>
      </w:rPr>
    </w:lvl>
    <w:lvl w:ilvl="2">
      <w:start w:val="1"/>
      <w:numFmt w:val="decimal"/>
      <w:pStyle w:val="Heading3"/>
      <w:lvlText w:val="%1.%2.%3"/>
      <w:lvlJc w:val="left"/>
      <w:pPr>
        <w:ind w:left="1429"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8AB0209"/>
    <w:multiLevelType w:val="hybridMultilevel"/>
    <w:tmpl w:val="BCFCC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E41BED"/>
    <w:multiLevelType w:val="hybridMultilevel"/>
    <w:tmpl w:val="5B368A4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5" w15:restartNumberingAfterBreak="0">
    <w:nsid w:val="5283313E"/>
    <w:multiLevelType w:val="hybridMultilevel"/>
    <w:tmpl w:val="1196E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1D4A73"/>
    <w:multiLevelType w:val="hybridMultilevel"/>
    <w:tmpl w:val="B51A3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4FE673D"/>
    <w:multiLevelType w:val="hybridMultilevel"/>
    <w:tmpl w:val="F2601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284F78"/>
    <w:multiLevelType w:val="hybridMultilevel"/>
    <w:tmpl w:val="9CDE8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A25432"/>
    <w:multiLevelType w:val="hybridMultilevel"/>
    <w:tmpl w:val="75B4E3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0C24DFE"/>
    <w:multiLevelType w:val="hybridMultilevel"/>
    <w:tmpl w:val="A348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22" w15:restartNumberingAfterBreak="0">
    <w:nsid w:val="627024E8"/>
    <w:multiLevelType w:val="hybridMultilevel"/>
    <w:tmpl w:val="63201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8D30EF"/>
    <w:multiLevelType w:val="multilevel"/>
    <w:tmpl w:val="6F0C9590"/>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bullet"/>
      <w:lvlText w:val=""/>
      <w:lvlJc w:val="left"/>
      <w:pPr>
        <w:ind w:left="2041" w:hanging="737"/>
      </w:pPr>
      <w:rPr>
        <w:rFonts w:ascii="Symbol" w:hAnsi="Symbol"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7C5CA1"/>
    <w:multiLevelType w:val="hybridMultilevel"/>
    <w:tmpl w:val="98F0B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9516AF"/>
    <w:multiLevelType w:val="hybridMultilevel"/>
    <w:tmpl w:val="A6E2CEF6"/>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26" w15:restartNumberingAfterBreak="0">
    <w:nsid w:val="686A6E2A"/>
    <w:multiLevelType w:val="hybridMultilevel"/>
    <w:tmpl w:val="0540B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8DE61E7"/>
    <w:multiLevelType w:val="hybridMultilevel"/>
    <w:tmpl w:val="A5A41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DB26AE"/>
    <w:multiLevelType w:val="multilevel"/>
    <w:tmpl w:val="5E14C43E"/>
    <w:lvl w:ilvl="0">
      <w:start w:val="1"/>
      <w:numFmt w:val="decimal"/>
      <w:lvlText w:val="%1.0"/>
      <w:lvlJc w:val="left"/>
      <w:pPr>
        <w:ind w:left="360" w:hanging="360"/>
      </w:pPr>
      <w:rPr>
        <w:rFonts w:hint="default"/>
        <w:b/>
      </w:rPr>
    </w:lvl>
    <w:lvl w:ilvl="1">
      <w:start w:val="1"/>
      <w:numFmt w:val="decimal"/>
      <w:lvlText w:val="%1.%2."/>
      <w:lvlJc w:val="left"/>
      <w:pPr>
        <w:ind w:left="709" w:hanging="567"/>
      </w:pPr>
      <w:rPr>
        <w:rFonts w:hint="default"/>
        <w:b w:val="0"/>
        <w:color w:val="auto"/>
        <w:sz w:val="22"/>
        <w:szCs w:val="22"/>
      </w:rPr>
    </w:lvl>
    <w:lvl w:ilvl="2">
      <w:start w:val="1"/>
      <w:numFmt w:val="decimal"/>
      <w:lvlText w:val="%1.%2.%3."/>
      <w:lvlJc w:val="left"/>
      <w:pPr>
        <w:ind w:left="2041" w:hanging="737"/>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654DE1"/>
    <w:multiLevelType w:val="hybridMultilevel"/>
    <w:tmpl w:val="0688D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36950FF"/>
    <w:multiLevelType w:val="hybridMultilevel"/>
    <w:tmpl w:val="67C2F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5175592"/>
    <w:multiLevelType w:val="hybridMultilevel"/>
    <w:tmpl w:val="2EAAA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0559D9"/>
    <w:multiLevelType w:val="hybridMultilevel"/>
    <w:tmpl w:val="41A01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EFA04C3"/>
    <w:multiLevelType w:val="hybridMultilevel"/>
    <w:tmpl w:val="8D7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1"/>
  </w:num>
  <w:num w:numId="3">
    <w:abstractNumId w:val="4"/>
  </w:num>
  <w:num w:numId="4">
    <w:abstractNumId w:val="19"/>
  </w:num>
  <w:num w:numId="5">
    <w:abstractNumId w:val="8"/>
  </w:num>
  <w:num w:numId="6">
    <w:abstractNumId w:val="33"/>
  </w:num>
  <w:num w:numId="7">
    <w:abstractNumId w:val="29"/>
  </w:num>
  <w:num w:numId="8">
    <w:abstractNumId w:val="10"/>
  </w:num>
  <w:num w:numId="9">
    <w:abstractNumId w:val="5"/>
  </w:num>
  <w:num w:numId="10">
    <w:abstractNumId w:val="18"/>
  </w:num>
  <w:num w:numId="11">
    <w:abstractNumId w:val="6"/>
  </w:num>
  <w:num w:numId="12">
    <w:abstractNumId w:val="31"/>
  </w:num>
  <w:num w:numId="13">
    <w:abstractNumId w:val="27"/>
  </w:num>
  <w:num w:numId="14">
    <w:abstractNumId w:val="7"/>
  </w:num>
  <w:num w:numId="15">
    <w:abstractNumId w:val="1"/>
  </w:num>
  <w:num w:numId="16">
    <w:abstractNumId w:val="0"/>
  </w:num>
  <w:num w:numId="17">
    <w:abstractNumId w:val="11"/>
  </w:num>
  <w:num w:numId="18">
    <w:abstractNumId w:val="15"/>
  </w:num>
  <w:num w:numId="19">
    <w:abstractNumId w:val="30"/>
  </w:num>
  <w:num w:numId="20">
    <w:abstractNumId w:val="13"/>
  </w:num>
  <w:num w:numId="21">
    <w:abstractNumId w:val="2"/>
  </w:num>
  <w:num w:numId="22">
    <w:abstractNumId w:val="22"/>
  </w:num>
  <w:num w:numId="23">
    <w:abstractNumId w:val="32"/>
  </w:num>
  <w:num w:numId="24">
    <w:abstractNumId w:val="24"/>
  </w:num>
  <w:num w:numId="25">
    <w:abstractNumId w:val="17"/>
  </w:num>
  <w:num w:numId="26">
    <w:abstractNumId w:val="16"/>
  </w:num>
  <w:num w:numId="27">
    <w:abstractNumId w:val="28"/>
  </w:num>
  <w:num w:numId="28">
    <w:abstractNumId w:val="23"/>
  </w:num>
  <w:num w:numId="29">
    <w:abstractNumId w:val="9"/>
  </w:num>
  <w:num w:numId="30">
    <w:abstractNumId w:val="25"/>
  </w:num>
  <w:num w:numId="31">
    <w:abstractNumId w:val="20"/>
  </w:num>
  <w:num w:numId="32">
    <w:abstractNumId w:val="3"/>
  </w:num>
  <w:num w:numId="33">
    <w:abstractNumId w:val="14"/>
  </w:num>
  <w:num w:numId="34">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EE"/>
    <w:rsid w:val="00002588"/>
    <w:rsid w:val="000122C8"/>
    <w:rsid w:val="00014FE3"/>
    <w:rsid w:val="00016C20"/>
    <w:rsid w:val="00037976"/>
    <w:rsid w:val="000440FD"/>
    <w:rsid w:val="0004576A"/>
    <w:rsid w:val="00057FDC"/>
    <w:rsid w:val="000625AD"/>
    <w:rsid w:val="0007195F"/>
    <w:rsid w:val="00080AA1"/>
    <w:rsid w:val="0008189A"/>
    <w:rsid w:val="000941D8"/>
    <w:rsid w:val="000A706D"/>
    <w:rsid w:val="000C3931"/>
    <w:rsid w:val="000D22C1"/>
    <w:rsid w:val="00113B1A"/>
    <w:rsid w:val="00114D56"/>
    <w:rsid w:val="00114ECC"/>
    <w:rsid w:val="00120CF2"/>
    <w:rsid w:val="00123A6C"/>
    <w:rsid w:val="00143598"/>
    <w:rsid w:val="00157290"/>
    <w:rsid w:val="00171886"/>
    <w:rsid w:val="00172B39"/>
    <w:rsid w:val="00197DD2"/>
    <w:rsid w:val="001A2AB3"/>
    <w:rsid w:val="001B23F5"/>
    <w:rsid w:val="001B39DC"/>
    <w:rsid w:val="001C084A"/>
    <w:rsid w:val="001E6177"/>
    <w:rsid w:val="001E74C8"/>
    <w:rsid w:val="001E7DA6"/>
    <w:rsid w:val="00210995"/>
    <w:rsid w:val="00212AEA"/>
    <w:rsid w:val="0021316B"/>
    <w:rsid w:val="00213631"/>
    <w:rsid w:val="002312AF"/>
    <w:rsid w:val="00255BF7"/>
    <w:rsid w:val="00267142"/>
    <w:rsid w:val="00270E27"/>
    <w:rsid w:val="00271679"/>
    <w:rsid w:val="0029154E"/>
    <w:rsid w:val="002921EA"/>
    <w:rsid w:val="00297973"/>
    <w:rsid w:val="00297DC4"/>
    <w:rsid w:val="002A3E76"/>
    <w:rsid w:val="002B3E55"/>
    <w:rsid w:val="002B417F"/>
    <w:rsid w:val="002B441D"/>
    <w:rsid w:val="002C279D"/>
    <w:rsid w:val="002E0EDF"/>
    <w:rsid w:val="002E5053"/>
    <w:rsid w:val="002F0B68"/>
    <w:rsid w:val="002F5524"/>
    <w:rsid w:val="0031055F"/>
    <w:rsid w:val="003214A3"/>
    <w:rsid w:val="00325987"/>
    <w:rsid w:val="00334A6D"/>
    <w:rsid w:val="00343D68"/>
    <w:rsid w:val="00352254"/>
    <w:rsid w:val="00356C11"/>
    <w:rsid w:val="00366CA5"/>
    <w:rsid w:val="0037098B"/>
    <w:rsid w:val="00372BE8"/>
    <w:rsid w:val="003870EF"/>
    <w:rsid w:val="0039431C"/>
    <w:rsid w:val="00395C11"/>
    <w:rsid w:val="00395F6A"/>
    <w:rsid w:val="003A102A"/>
    <w:rsid w:val="003A336A"/>
    <w:rsid w:val="003B5996"/>
    <w:rsid w:val="003D650E"/>
    <w:rsid w:val="003E137F"/>
    <w:rsid w:val="003E1DB1"/>
    <w:rsid w:val="003E405D"/>
    <w:rsid w:val="003E6C1A"/>
    <w:rsid w:val="003F2B5B"/>
    <w:rsid w:val="003F2C3A"/>
    <w:rsid w:val="003F3496"/>
    <w:rsid w:val="00402F5F"/>
    <w:rsid w:val="004044DA"/>
    <w:rsid w:val="00404DB2"/>
    <w:rsid w:val="00404FE9"/>
    <w:rsid w:val="004118BC"/>
    <w:rsid w:val="00425893"/>
    <w:rsid w:val="004362C1"/>
    <w:rsid w:val="00437D46"/>
    <w:rsid w:val="00445B66"/>
    <w:rsid w:val="004470CD"/>
    <w:rsid w:val="00451744"/>
    <w:rsid w:val="00476E6F"/>
    <w:rsid w:val="00485DEF"/>
    <w:rsid w:val="004900F6"/>
    <w:rsid w:val="004939C6"/>
    <w:rsid w:val="00495D41"/>
    <w:rsid w:val="004B20F5"/>
    <w:rsid w:val="004B2351"/>
    <w:rsid w:val="004B52B5"/>
    <w:rsid w:val="004D7800"/>
    <w:rsid w:val="004E45C5"/>
    <w:rsid w:val="004F5F46"/>
    <w:rsid w:val="004F611C"/>
    <w:rsid w:val="0050095B"/>
    <w:rsid w:val="00524B58"/>
    <w:rsid w:val="00526FDC"/>
    <w:rsid w:val="00534840"/>
    <w:rsid w:val="00537658"/>
    <w:rsid w:val="00541BCD"/>
    <w:rsid w:val="00553887"/>
    <w:rsid w:val="0055426D"/>
    <w:rsid w:val="00557EEE"/>
    <w:rsid w:val="00564117"/>
    <w:rsid w:val="0056691B"/>
    <w:rsid w:val="00584684"/>
    <w:rsid w:val="00584D2A"/>
    <w:rsid w:val="0059013E"/>
    <w:rsid w:val="0059269E"/>
    <w:rsid w:val="005A34E3"/>
    <w:rsid w:val="005B3D8D"/>
    <w:rsid w:val="005B62F1"/>
    <w:rsid w:val="005C15CC"/>
    <w:rsid w:val="005D7D59"/>
    <w:rsid w:val="005E59E2"/>
    <w:rsid w:val="005F13CA"/>
    <w:rsid w:val="00623061"/>
    <w:rsid w:val="00624BFC"/>
    <w:rsid w:val="006354E8"/>
    <w:rsid w:val="006373D0"/>
    <w:rsid w:val="0064157F"/>
    <w:rsid w:val="00651E15"/>
    <w:rsid w:val="00665D33"/>
    <w:rsid w:val="00672625"/>
    <w:rsid w:val="00676C08"/>
    <w:rsid w:val="006779D6"/>
    <w:rsid w:val="00696E8B"/>
    <w:rsid w:val="00697BAB"/>
    <w:rsid w:val="006A76C3"/>
    <w:rsid w:val="006B6A58"/>
    <w:rsid w:val="006C5595"/>
    <w:rsid w:val="006D010B"/>
    <w:rsid w:val="006D1428"/>
    <w:rsid w:val="006D18AC"/>
    <w:rsid w:val="006F3A70"/>
    <w:rsid w:val="006F6121"/>
    <w:rsid w:val="006F7EC1"/>
    <w:rsid w:val="007115D8"/>
    <w:rsid w:val="00712510"/>
    <w:rsid w:val="007170CB"/>
    <w:rsid w:val="0071762D"/>
    <w:rsid w:val="00717A4F"/>
    <w:rsid w:val="00721FBC"/>
    <w:rsid w:val="00746B06"/>
    <w:rsid w:val="00754882"/>
    <w:rsid w:val="00766582"/>
    <w:rsid w:val="00784670"/>
    <w:rsid w:val="007B417F"/>
    <w:rsid w:val="007C7A9C"/>
    <w:rsid w:val="007D1A8A"/>
    <w:rsid w:val="007D580E"/>
    <w:rsid w:val="007E5E0E"/>
    <w:rsid w:val="007E654C"/>
    <w:rsid w:val="007F0B0D"/>
    <w:rsid w:val="0080287D"/>
    <w:rsid w:val="00802957"/>
    <w:rsid w:val="00810CB1"/>
    <w:rsid w:val="00840548"/>
    <w:rsid w:val="00841FB3"/>
    <w:rsid w:val="00870C09"/>
    <w:rsid w:val="008722CC"/>
    <w:rsid w:val="0088590F"/>
    <w:rsid w:val="00885BCE"/>
    <w:rsid w:val="00885CB2"/>
    <w:rsid w:val="008873D3"/>
    <w:rsid w:val="008932E1"/>
    <w:rsid w:val="00893928"/>
    <w:rsid w:val="008951D2"/>
    <w:rsid w:val="0089561C"/>
    <w:rsid w:val="008A6031"/>
    <w:rsid w:val="008A6841"/>
    <w:rsid w:val="008C03E1"/>
    <w:rsid w:val="008C1B4D"/>
    <w:rsid w:val="008C62D8"/>
    <w:rsid w:val="008C67E6"/>
    <w:rsid w:val="008D2B94"/>
    <w:rsid w:val="008D4FA6"/>
    <w:rsid w:val="008D52D4"/>
    <w:rsid w:val="008F270B"/>
    <w:rsid w:val="008F3237"/>
    <w:rsid w:val="00905B81"/>
    <w:rsid w:val="00921EBE"/>
    <w:rsid w:val="0093119A"/>
    <w:rsid w:val="009330F8"/>
    <w:rsid w:val="009378A9"/>
    <w:rsid w:val="009520BF"/>
    <w:rsid w:val="00954E19"/>
    <w:rsid w:val="009716BC"/>
    <w:rsid w:val="0097581B"/>
    <w:rsid w:val="0097627D"/>
    <w:rsid w:val="00976383"/>
    <w:rsid w:val="0098265B"/>
    <w:rsid w:val="009905BB"/>
    <w:rsid w:val="009975F1"/>
    <w:rsid w:val="009A55B2"/>
    <w:rsid w:val="009B5DD0"/>
    <w:rsid w:val="009C2E78"/>
    <w:rsid w:val="009D049F"/>
    <w:rsid w:val="009E13D9"/>
    <w:rsid w:val="009E37D7"/>
    <w:rsid w:val="009F6F34"/>
    <w:rsid w:val="00A027A9"/>
    <w:rsid w:val="00A03704"/>
    <w:rsid w:val="00A0426D"/>
    <w:rsid w:val="00A07E3B"/>
    <w:rsid w:val="00A13EA2"/>
    <w:rsid w:val="00A21DCC"/>
    <w:rsid w:val="00A267B0"/>
    <w:rsid w:val="00A32EEE"/>
    <w:rsid w:val="00A3693A"/>
    <w:rsid w:val="00A42178"/>
    <w:rsid w:val="00A44A74"/>
    <w:rsid w:val="00A502BE"/>
    <w:rsid w:val="00A62447"/>
    <w:rsid w:val="00A62BC0"/>
    <w:rsid w:val="00A821B7"/>
    <w:rsid w:val="00A95378"/>
    <w:rsid w:val="00A95AE5"/>
    <w:rsid w:val="00A95F6B"/>
    <w:rsid w:val="00A964B8"/>
    <w:rsid w:val="00A97C21"/>
    <w:rsid w:val="00AA55C9"/>
    <w:rsid w:val="00AC31E5"/>
    <w:rsid w:val="00AC5AE2"/>
    <w:rsid w:val="00AD7E12"/>
    <w:rsid w:val="00AE7B6C"/>
    <w:rsid w:val="00AF023F"/>
    <w:rsid w:val="00AF51C7"/>
    <w:rsid w:val="00B11771"/>
    <w:rsid w:val="00B15CB3"/>
    <w:rsid w:val="00B20B93"/>
    <w:rsid w:val="00B43DBC"/>
    <w:rsid w:val="00B4681C"/>
    <w:rsid w:val="00B51F43"/>
    <w:rsid w:val="00B52E5F"/>
    <w:rsid w:val="00B8081C"/>
    <w:rsid w:val="00B907E6"/>
    <w:rsid w:val="00B921A6"/>
    <w:rsid w:val="00B951F7"/>
    <w:rsid w:val="00BA5A5E"/>
    <w:rsid w:val="00BA68CB"/>
    <w:rsid w:val="00BA7104"/>
    <w:rsid w:val="00BA7934"/>
    <w:rsid w:val="00BA7DEF"/>
    <w:rsid w:val="00BC0779"/>
    <w:rsid w:val="00BC1C37"/>
    <w:rsid w:val="00BC244B"/>
    <w:rsid w:val="00BC51D0"/>
    <w:rsid w:val="00BC5E82"/>
    <w:rsid w:val="00BE1260"/>
    <w:rsid w:val="00BE4ABE"/>
    <w:rsid w:val="00BE4F78"/>
    <w:rsid w:val="00BE79F6"/>
    <w:rsid w:val="00BF0B45"/>
    <w:rsid w:val="00BF0B96"/>
    <w:rsid w:val="00C01BD8"/>
    <w:rsid w:val="00C02D22"/>
    <w:rsid w:val="00C16A52"/>
    <w:rsid w:val="00C21A06"/>
    <w:rsid w:val="00C413FA"/>
    <w:rsid w:val="00C42609"/>
    <w:rsid w:val="00C4335B"/>
    <w:rsid w:val="00C45A07"/>
    <w:rsid w:val="00C4786C"/>
    <w:rsid w:val="00C52180"/>
    <w:rsid w:val="00C55D0D"/>
    <w:rsid w:val="00C578D7"/>
    <w:rsid w:val="00C57D0A"/>
    <w:rsid w:val="00C64978"/>
    <w:rsid w:val="00C67D57"/>
    <w:rsid w:val="00C75CEE"/>
    <w:rsid w:val="00C80E2D"/>
    <w:rsid w:val="00C84768"/>
    <w:rsid w:val="00C85CF8"/>
    <w:rsid w:val="00C87998"/>
    <w:rsid w:val="00CB0744"/>
    <w:rsid w:val="00CB49E6"/>
    <w:rsid w:val="00CB67B5"/>
    <w:rsid w:val="00CC2CB0"/>
    <w:rsid w:val="00CC5536"/>
    <w:rsid w:val="00CC6D81"/>
    <w:rsid w:val="00CD18A4"/>
    <w:rsid w:val="00CD205B"/>
    <w:rsid w:val="00CD316B"/>
    <w:rsid w:val="00CE1C65"/>
    <w:rsid w:val="00CF6D15"/>
    <w:rsid w:val="00D00194"/>
    <w:rsid w:val="00D01F77"/>
    <w:rsid w:val="00D068D8"/>
    <w:rsid w:val="00D101FA"/>
    <w:rsid w:val="00D24901"/>
    <w:rsid w:val="00D260F2"/>
    <w:rsid w:val="00D31EA2"/>
    <w:rsid w:val="00D3287F"/>
    <w:rsid w:val="00D33825"/>
    <w:rsid w:val="00D360BB"/>
    <w:rsid w:val="00D45310"/>
    <w:rsid w:val="00D47457"/>
    <w:rsid w:val="00D47E72"/>
    <w:rsid w:val="00D5314D"/>
    <w:rsid w:val="00D57544"/>
    <w:rsid w:val="00D6094F"/>
    <w:rsid w:val="00D651AB"/>
    <w:rsid w:val="00D651FD"/>
    <w:rsid w:val="00D752E4"/>
    <w:rsid w:val="00D802A5"/>
    <w:rsid w:val="00DA6F3C"/>
    <w:rsid w:val="00DC0417"/>
    <w:rsid w:val="00DD0060"/>
    <w:rsid w:val="00DD5CD3"/>
    <w:rsid w:val="00DF3E0B"/>
    <w:rsid w:val="00DF540D"/>
    <w:rsid w:val="00E02405"/>
    <w:rsid w:val="00E151E1"/>
    <w:rsid w:val="00E21EF0"/>
    <w:rsid w:val="00E27898"/>
    <w:rsid w:val="00E301DF"/>
    <w:rsid w:val="00E54F00"/>
    <w:rsid w:val="00E57179"/>
    <w:rsid w:val="00E648F0"/>
    <w:rsid w:val="00E77235"/>
    <w:rsid w:val="00E85049"/>
    <w:rsid w:val="00E97DE7"/>
    <w:rsid w:val="00EA48EF"/>
    <w:rsid w:val="00EC1B09"/>
    <w:rsid w:val="00EC3A7D"/>
    <w:rsid w:val="00ED2598"/>
    <w:rsid w:val="00ED44F9"/>
    <w:rsid w:val="00ED4587"/>
    <w:rsid w:val="00ED64DB"/>
    <w:rsid w:val="00EE17E4"/>
    <w:rsid w:val="00EE1A50"/>
    <w:rsid w:val="00EE1D65"/>
    <w:rsid w:val="00F045F9"/>
    <w:rsid w:val="00F22E19"/>
    <w:rsid w:val="00F23D02"/>
    <w:rsid w:val="00F26B4A"/>
    <w:rsid w:val="00F26E0F"/>
    <w:rsid w:val="00F340AF"/>
    <w:rsid w:val="00F35F72"/>
    <w:rsid w:val="00F440EE"/>
    <w:rsid w:val="00F636C7"/>
    <w:rsid w:val="00F75AA9"/>
    <w:rsid w:val="00F828D3"/>
    <w:rsid w:val="00F90675"/>
    <w:rsid w:val="00FA0136"/>
    <w:rsid w:val="00FA047A"/>
    <w:rsid w:val="00FB107E"/>
    <w:rsid w:val="00FC26BE"/>
    <w:rsid w:val="00FD091B"/>
    <w:rsid w:val="00FE609F"/>
    <w:rsid w:val="00FF67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C4BC67"/>
  <w15:docId w15:val="{A887F627-CB93-4735-92C0-147B3A65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ind w:left="720" w:hanging="578"/>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ind w:left="720" w:hanging="578"/>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ind w:left="720" w:hanging="578"/>
      <w:outlineLvl w:val="2"/>
    </w:pPr>
    <w:rPr>
      <w:bCs/>
    </w:rPr>
  </w:style>
  <w:style w:type="paragraph" w:styleId="Heading4">
    <w:name w:val="heading 4"/>
    <w:basedOn w:val="Normal"/>
    <w:next w:val="Normal"/>
    <w:link w:val="Heading4Char"/>
    <w:uiPriority w:val="9"/>
    <w:semiHidden/>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FA047A"/>
    <w:rPr>
      <w:rFonts w:asciiTheme="minorHAnsi" w:hAnsiTheme="minorHAnsi"/>
      <w:bCs/>
      <w:sz w:val="22"/>
      <w:szCs w:val="22"/>
    </w:rPr>
  </w:style>
  <w:style w:type="character" w:customStyle="1" w:styleId="Heading4Char">
    <w:name w:val="Heading 4 Char"/>
    <w:link w:val="Heading4"/>
    <w:uiPriority w:val="9"/>
    <w:semiHidden/>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uiPriority w:val="1"/>
    <w:qFormat/>
    <w:rsid w:val="005B3D8D"/>
    <w:pPr>
      <w:jc w:val="both"/>
    </w:pPr>
    <w:rPr>
      <w:rFonts w:asciiTheme="minorHAnsi" w:hAnsiTheme="minorHAnsi"/>
      <w:sz w:val="22"/>
      <w:szCs w:val="22"/>
    </w:rPr>
  </w:style>
  <w:style w:type="table" w:styleId="TableGrid">
    <w:name w:val="Table Grid"/>
    <w:basedOn w:val="TableNormal"/>
    <w:uiPriority w:val="39"/>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2" ma:contentTypeDescription="Create a new document." ma:contentTypeScope="" ma:versionID="00c3bba047c477cd001f9947fd2573b1">
  <xsd:schema xmlns:xsd="http://www.w3.org/2001/XMLSchema" xmlns:xs="http://www.w3.org/2001/XMLSchema" xmlns:p="http://schemas.microsoft.com/office/2006/metadata/properties" xmlns:ns2="f82259c2-606d-4d73-8d80-94330c040f5a" targetNamespace="http://schemas.microsoft.com/office/2006/metadata/properties" ma:root="true" ma:fieldsID="ab3c4b49689eb24d19129656d516b48c" ns2:_="">
    <xsd:import namespace="f82259c2-606d-4d73-8d80-94330c040f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4FCE4D-6671-4748-AB81-E9FCC50AA61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f82259c2-606d-4d73-8d80-94330c040f5a"/>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BD00A25-267E-443B-BD92-A440817DB6AE}">
  <ds:schemaRefs>
    <ds:schemaRef ds:uri="http://schemas.microsoft.com/sharepoint/v3/contenttype/forms"/>
  </ds:schemaRefs>
</ds:datastoreItem>
</file>

<file path=customXml/itemProps4.xml><?xml version="1.0" encoding="utf-8"?>
<ds:datastoreItem xmlns:ds="http://schemas.openxmlformats.org/officeDocument/2006/customXml" ds:itemID="{1CD44B73-F9F8-4532-9D5E-CAE980B1D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30F1B7-DD8E-483C-B81F-9833EB3F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13774</CharactersWithSpaces>
  <SharedDoc>false</SharedDoc>
  <HLinks>
    <vt:vector size="6" baseType="variant">
      <vt:variant>
        <vt:i4>6029316</vt:i4>
      </vt:variant>
      <vt:variant>
        <vt:i4>6</vt:i4>
      </vt:variant>
      <vt:variant>
        <vt:i4>0</vt:i4>
      </vt:variant>
      <vt:variant>
        <vt:i4>5</vt:i4>
      </vt:variant>
      <vt:variant>
        <vt:lpwstr>http://www.cognitaschools.co.uk/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louise.hobkirk</dc:creator>
  <cp:lastModifiedBy>Vanessa Conlan</cp:lastModifiedBy>
  <cp:revision>2</cp:revision>
  <cp:lastPrinted>2018-04-19T16:10:00Z</cp:lastPrinted>
  <dcterms:created xsi:type="dcterms:W3CDTF">2019-07-16T14:11:00Z</dcterms:created>
  <dcterms:modified xsi:type="dcterms:W3CDTF">2019-07-16T14:11:00Z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ies>
</file>